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23" w:rsidRDefault="001317E8" w:rsidP="00454B93">
      <w:pPr>
        <w:spacing w:before="3"/>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14:anchorId="76FEB69E" wp14:editId="24B0C10A">
            <wp:simplePos x="0" y="0"/>
            <wp:positionH relativeFrom="margin">
              <wp:posOffset>5200650</wp:posOffset>
            </wp:positionH>
            <wp:positionV relativeFrom="margin">
              <wp:posOffset>-2540</wp:posOffset>
            </wp:positionV>
            <wp:extent cx="1261110" cy="1311910"/>
            <wp:effectExtent l="19050" t="0" r="0" b="0"/>
            <wp:wrapSquare wrapText="bothSides"/>
            <wp:docPr id="4" name="Picture 4" descr="AHPRA_Optomet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PRA_OptometryBoardofAustralia_SPOT.jpg"/>
                    <pic:cNvPicPr>
                      <a:picLocks noChangeAspect="1" noChangeArrowheads="1"/>
                    </pic:cNvPicPr>
                  </pic:nvPicPr>
                  <pic:blipFill>
                    <a:blip r:embed="rId7"/>
                    <a:srcRect/>
                    <a:stretch>
                      <a:fillRect/>
                    </a:stretch>
                  </pic:blipFill>
                  <pic:spPr bwMode="auto">
                    <a:xfrm>
                      <a:off x="0" y="0"/>
                      <a:ext cx="1261110" cy="1311910"/>
                    </a:xfrm>
                    <a:prstGeom prst="rect">
                      <a:avLst/>
                    </a:prstGeom>
                    <a:noFill/>
                  </pic:spPr>
                </pic:pic>
              </a:graphicData>
            </a:graphic>
          </wp:anchor>
        </w:drawing>
      </w:r>
    </w:p>
    <w:p w:rsidR="00046423" w:rsidRDefault="00046423" w:rsidP="00454B93">
      <w:pPr>
        <w:spacing w:before="3"/>
        <w:rPr>
          <w:rFonts w:ascii="Times New Roman" w:eastAsia="Times New Roman" w:hAnsi="Times New Roman" w:cs="Times New Roman"/>
          <w:sz w:val="20"/>
          <w:szCs w:val="20"/>
        </w:rPr>
      </w:pPr>
    </w:p>
    <w:p w:rsidR="00046423" w:rsidRDefault="00046423" w:rsidP="00454B93">
      <w:pPr>
        <w:spacing w:before="3"/>
        <w:rPr>
          <w:rFonts w:ascii="Times New Roman" w:eastAsia="Times New Roman" w:hAnsi="Times New Roman" w:cs="Times New Roman"/>
          <w:sz w:val="20"/>
          <w:szCs w:val="20"/>
        </w:rPr>
      </w:pPr>
    </w:p>
    <w:p w:rsidR="00046423" w:rsidRDefault="00046423" w:rsidP="00454B93">
      <w:pPr>
        <w:spacing w:before="3"/>
        <w:rPr>
          <w:rFonts w:ascii="Times New Roman" w:eastAsia="Times New Roman" w:hAnsi="Times New Roman" w:cs="Times New Roman"/>
          <w:sz w:val="20"/>
          <w:szCs w:val="20"/>
        </w:rPr>
      </w:pPr>
    </w:p>
    <w:p w:rsidR="00046423" w:rsidRDefault="00046423" w:rsidP="00454B93">
      <w:pPr>
        <w:spacing w:before="3"/>
        <w:rPr>
          <w:rFonts w:ascii="Times New Roman" w:eastAsia="Times New Roman" w:hAnsi="Times New Roman" w:cs="Times New Roman"/>
          <w:sz w:val="20"/>
          <w:szCs w:val="20"/>
        </w:rPr>
      </w:pPr>
    </w:p>
    <w:p w:rsidR="00046423" w:rsidRDefault="00046423" w:rsidP="00454B93">
      <w:pPr>
        <w:spacing w:before="3"/>
        <w:rPr>
          <w:rFonts w:ascii="Times New Roman" w:eastAsia="Times New Roman" w:hAnsi="Times New Roman" w:cs="Times New Roman"/>
          <w:sz w:val="20"/>
          <w:szCs w:val="20"/>
        </w:rPr>
      </w:pPr>
    </w:p>
    <w:p w:rsidR="00046423" w:rsidRDefault="00046423" w:rsidP="00454B93">
      <w:pPr>
        <w:spacing w:before="3"/>
        <w:rPr>
          <w:rFonts w:ascii="Times New Roman" w:eastAsia="Times New Roman" w:hAnsi="Times New Roman" w:cs="Times New Roman"/>
          <w:sz w:val="20"/>
          <w:szCs w:val="20"/>
        </w:rPr>
      </w:pPr>
    </w:p>
    <w:p w:rsidR="00046423" w:rsidRDefault="00046423" w:rsidP="00454B93">
      <w:pPr>
        <w:spacing w:before="3"/>
        <w:rPr>
          <w:rFonts w:ascii="Times New Roman" w:eastAsia="Times New Roman" w:hAnsi="Times New Roman" w:cs="Times New Roman"/>
          <w:sz w:val="6"/>
          <w:szCs w:val="6"/>
        </w:rPr>
      </w:pPr>
    </w:p>
    <w:p w:rsidR="00BE70F2" w:rsidRDefault="00BE70F2" w:rsidP="00454B93">
      <w:pPr>
        <w:spacing w:before="3"/>
        <w:rPr>
          <w:rFonts w:ascii="Times New Roman" w:eastAsia="Times New Roman" w:hAnsi="Times New Roman" w:cs="Times New Roman"/>
          <w:sz w:val="20"/>
          <w:szCs w:val="20"/>
        </w:rPr>
      </w:pPr>
    </w:p>
    <w:p w:rsidR="00BE70F2" w:rsidRDefault="00BE70F2" w:rsidP="00454B93">
      <w:pPr>
        <w:spacing w:before="3"/>
        <w:rPr>
          <w:rFonts w:ascii="Times New Roman" w:eastAsia="Times New Roman" w:hAnsi="Times New Roman" w:cs="Times New Roman"/>
          <w:sz w:val="9"/>
          <w:szCs w:val="9"/>
        </w:rPr>
      </w:pPr>
    </w:p>
    <w:p w:rsidR="00BE70F2" w:rsidRDefault="00FF3316" w:rsidP="00454B93">
      <w:pPr>
        <w:rPr>
          <w:rFonts w:ascii="Arial" w:eastAsia="Arial" w:hAnsi="Arial" w:cs="Arial"/>
          <w:sz w:val="32"/>
          <w:szCs w:val="32"/>
        </w:rPr>
      </w:pPr>
      <w:r>
        <w:rPr>
          <w:rFonts w:ascii="Arial" w:hAnsi="Arial"/>
          <w:color w:val="00BBE3"/>
          <w:sz w:val="32"/>
        </w:rPr>
        <w:t>Communiqué: Optometry Board of</w:t>
      </w:r>
      <w:r>
        <w:rPr>
          <w:rFonts w:ascii="Arial" w:hAnsi="Arial"/>
          <w:color w:val="00BBE3"/>
          <w:spacing w:val="-10"/>
          <w:sz w:val="32"/>
        </w:rPr>
        <w:t xml:space="preserve"> </w:t>
      </w:r>
      <w:r>
        <w:rPr>
          <w:rFonts w:ascii="Arial" w:hAnsi="Arial"/>
          <w:color w:val="00BBE3"/>
          <w:sz w:val="32"/>
        </w:rPr>
        <w:t>Australia</w:t>
      </w:r>
    </w:p>
    <w:p w:rsidR="00BE70F2" w:rsidRDefault="00BE70F2" w:rsidP="00454B93">
      <w:pPr>
        <w:rPr>
          <w:rFonts w:ascii="Arial" w:eastAsia="Arial" w:hAnsi="Arial" w:cs="Arial"/>
          <w:sz w:val="13"/>
          <w:szCs w:val="13"/>
        </w:rPr>
      </w:pPr>
    </w:p>
    <w:p w:rsidR="00BE70F2" w:rsidRDefault="00E40DA7" w:rsidP="00454B93">
      <w:pPr>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E24E534">
                <wp:extent cx="4764405" cy="9525"/>
                <wp:effectExtent l="0" t="5715" r="7620"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4405" cy="9525"/>
                          <a:chOff x="0" y="0"/>
                          <a:chExt cx="7503" cy="15"/>
                        </a:xfrm>
                      </wpg:grpSpPr>
                      <wpg:grpSp>
                        <wpg:cNvPr id="8" name="Group 3"/>
                        <wpg:cNvGrpSpPr>
                          <a:grpSpLocks/>
                        </wpg:cNvGrpSpPr>
                        <wpg:grpSpPr bwMode="auto">
                          <a:xfrm>
                            <a:off x="8" y="8"/>
                            <a:ext cx="7488" cy="2"/>
                            <a:chOff x="8" y="8"/>
                            <a:chExt cx="7488" cy="2"/>
                          </a:xfrm>
                        </wpg:grpSpPr>
                        <wps:wsp>
                          <wps:cNvPr id="9" name="Freeform 4"/>
                          <wps:cNvSpPr>
                            <a:spLocks/>
                          </wps:cNvSpPr>
                          <wps:spPr bwMode="auto">
                            <a:xfrm>
                              <a:off x="8" y="8"/>
                              <a:ext cx="7488" cy="2"/>
                            </a:xfrm>
                            <a:custGeom>
                              <a:avLst/>
                              <a:gdLst>
                                <a:gd name="T0" fmla="+- 0 8 8"/>
                                <a:gd name="T1" fmla="*/ T0 w 7488"/>
                                <a:gd name="T2" fmla="+- 0 7496 8"/>
                                <a:gd name="T3" fmla="*/ T2 w 7488"/>
                              </a:gdLst>
                              <a:ahLst/>
                              <a:cxnLst>
                                <a:cxn ang="0">
                                  <a:pos x="T1" y="0"/>
                                </a:cxn>
                                <a:cxn ang="0">
                                  <a:pos x="T3" y="0"/>
                                </a:cxn>
                              </a:cxnLst>
                              <a:rect l="0" t="0" r="r" b="b"/>
                              <a:pathLst>
                                <a:path w="7488">
                                  <a:moveTo>
                                    <a:pt x="0" y="0"/>
                                  </a:moveTo>
                                  <a:lnTo>
                                    <a:pt x="748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1D3E9C" id="Group 2" o:spid="_x0000_s1026" style="width:375.15pt;height:.75pt;mso-position-horizontal-relative:char;mso-position-vertical-relative:line" coordsize="75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ZEfwMAAM8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RKiWA1pAitkrENTdvkEUjcqeZz80k5fEDey+SrBrZ3ybfn3AmTXftepqCO7Y3E0Bwz&#10;VVsVAJocMQMPpwzwoyEJfAxn0zD0J5QkwFtMxhOXoKSALD65lBTr7tps4l+7OwHe8FjkrKGHnUcO&#10;Dh5OyDrsUKRD7Nf/GzvYA3xzB67HPgvn8N0Cx9iz6IT6THyA+vzCs6Chs/Rj8eh/K57PBWs41qS2&#10;pdEFcNEHcKM4t91KQhdDFOqLRw8rZ8BpGx1pKLDf1sxZIJ6J2ykMEMC9NndcYtWxw702rttToLCW&#10;0y7rW5gMWV1B478eEZ/MSZeZ/CQQ9AKvPLL1SUswWZ26Xsu4F0Its3AxfaoIytRZsorGA0Xgdt47&#10;xore1+QoOmeBIswOVR+bqZHa9sMWHOu7CDSAkAX2jCzYvpR1dzoTCqbl5ZxUlMCc3LlKbZixnlkT&#10;liRtTDEO9kMtD3wrkWUuOhWMPHIrMZRyNT/wyrHhhjUAE8YRaNT6OkiokJuyqjAFlbCu4LiwDmhZ&#10;lall4kHlu2WlyIHZDYCPBQPKzsRg0ooUlRWcpeuONqysHA3yFcYWqq4Lga0/HPE/Fv5iPV/Pw1E4&#10;nq5Hob9ajd5uluFouglmk9X1arlcBT9t2oIwKso05cJ616+bIPyzjuwWn1sUp4VzhkIPwW7weQrW&#10;O3cDYwFY+l8X674l7aTU0U6mD9CeSrr9CfseiEKq75S0sDtjqr/tmeKUVO8EzJdFAEMcli0ewsls&#10;DAc15OyGHCYSUBVTQ6HALbk0bkHvG1XmBVgKsOSFfAurJCttF8Nc773qDjDikOoWUEfD1gTqbC0P&#10;zyj1+D/k9hcAAAD//wMAUEsDBBQABgAIAAAAIQCoKHLi2gAAAAMBAAAPAAAAZHJzL2Rvd25yZXYu&#10;eG1sTI9BS8NAEIXvgv9hGcGb3cQSlTSbUop6KoKtIL1Nk2kSmp0N2W2S/ntHL/byYHiP977JlpNt&#10;1UC9bxwbiGcRKOLClQ1XBr52bw8voHxALrF1TAYu5GGZ395kmJZu5E8atqFSUsI+RQN1CF2qtS9q&#10;suhnriMW7+h6i0HOvtJlj6OU21Y/RtGTttiwLNTY0bqm4rQ9WwPvI46refw6bE7H9WW/Sz6+NzEZ&#10;c383rRagAk3hPwy/+IIOuTAd3JlLr1oD8kj4U/Gek2gO6iChBHSe6Wv2/AcAAP//AwBQSwECLQAU&#10;AAYACAAAACEAtoM4kv4AAADhAQAAEwAAAAAAAAAAAAAAAAAAAAAAW0NvbnRlbnRfVHlwZXNdLnht&#10;bFBLAQItABQABgAIAAAAIQA4/SH/1gAAAJQBAAALAAAAAAAAAAAAAAAAAC8BAABfcmVscy8ucmVs&#10;c1BLAQItABQABgAIAAAAIQBKM7ZEfwMAAM8IAAAOAAAAAAAAAAAAAAAAAC4CAABkcnMvZTJvRG9j&#10;LnhtbFBLAQItABQABgAIAAAAIQCoKHLi2gAAAAMBAAAPAAAAAAAAAAAAAAAAANkFAABkcnMvZG93&#10;bnJldi54bWxQSwUGAAAAAAQABADzAAAA4AYAAAAA&#10;">
                <v:group id="Group 3" o:spid="_x0000_s1027" style="position:absolute;left:8;top:8;width:7488;height:2" coordorigin="8,8" coordsize="7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7488;height:2;visibility:visible;mso-wrap-style:square;v-text-anchor:top" coordsize="7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EtxQAAANoAAAAPAAAAZHJzL2Rvd25yZXYueG1sRI9Pa8JA&#10;FMTvBb/D8oTe6kZDRVM3IkJLA4IYPfT4yL7mT7NvQ3Zr0n76bkHwOMzMb5jNdjStuFLvassK5rMI&#10;BHFhdc2lgsv59WkFwnlkja1lUvBDDrbp5GGDibYDn+ia+1IECLsEFVTed4mUrqjIoJvZjjh4n7Y3&#10;6IPsS6l7HALctHIRRUtpsOawUGFH+4qKr/zbKDg+vx2W+yYrh8MubuKPUybj30ypx+m4ewHhafT3&#10;8K39rhWs4f9KuAEy/QMAAP//AwBQSwECLQAUAAYACAAAACEA2+H2y+4AAACFAQAAEwAAAAAAAAAA&#10;AAAAAAAAAAAAW0NvbnRlbnRfVHlwZXNdLnhtbFBLAQItABQABgAIAAAAIQBa9CxbvwAAABUBAAAL&#10;AAAAAAAAAAAAAAAAAB8BAABfcmVscy8ucmVsc1BLAQItABQABgAIAAAAIQDeTjEtxQAAANoAAAAP&#10;AAAAAAAAAAAAAAAAAAcCAABkcnMvZG93bnJldi54bWxQSwUGAAAAAAMAAwC3AAAA+QIAAAAA&#10;" path="m,l7488,e" filled="f">
                    <v:path arrowok="t" o:connecttype="custom" o:connectlocs="0,0;7488,0" o:connectangles="0,0"/>
                  </v:shape>
                </v:group>
                <w10:anchorlock/>
              </v:group>
            </w:pict>
          </mc:Fallback>
        </mc:AlternateContent>
      </w:r>
    </w:p>
    <w:p w:rsidR="00BE70F2" w:rsidRDefault="00BE70F2" w:rsidP="00454B93">
      <w:pPr>
        <w:rPr>
          <w:rFonts w:ascii="Arial" w:eastAsia="Arial" w:hAnsi="Arial" w:cs="Arial"/>
          <w:sz w:val="30"/>
          <w:szCs w:val="30"/>
        </w:rPr>
      </w:pPr>
    </w:p>
    <w:p w:rsidR="00BE70F2" w:rsidRDefault="001B3A37" w:rsidP="006436E0">
      <w:pPr>
        <w:rPr>
          <w:rFonts w:ascii="Arial" w:eastAsia="Arial" w:hAnsi="Arial" w:cs="Arial"/>
          <w:sz w:val="28"/>
          <w:szCs w:val="28"/>
        </w:rPr>
      </w:pPr>
      <w:r>
        <w:rPr>
          <w:rFonts w:ascii="Arial"/>
          <w:color w:val="5F5F61"/>
          <w:sz w:val="28"/>
        </w:rPr>
        <w:t>July, August</w:t>
      </w:r>
      <w:r w:rsidR="00FF3316">
        <w:rPr>
          <w:rFonts w:ascii="Arial"/>
          <w:color w:val="5F5F61"/>
          <w:sz w:val="28"/>
        </w:rPr>
        <w:t xml:space="preserve"> and </w:t>
      </w:r>
      <w:r>
        <w:rPr>
          <w:rFonts w:ascii="Arial"/>
          <w:color w:val="5F5F61"/>
          <w:sz w:val="28"/>
        </w:rPr>
        <w:t>September</w:t>
      </w:r>
      <w:r w:rsidR="00FF3316">
        <w:rPr>
          <w:rFonts w:ascii="Arial"/>
          <w:color w:val="5F5F61"/>
          <w:sz w:val="28"/>
        </w:rPr>
        <w:t xml:space="preserve"> 2019</w:t>
      </w:r>
      <w:r w:rsidR="00FF3316">
        <w:rPr>
          <w:rFonts w:ascii="Arial"/>
          <w:color w:val="5F5F61"/>
          <w:spacing w:val="-6"/>
          <w:sz w:val="28"/>
        </w:rPr>
        <w:t xml:space="preserve"> </w:t>
      </w:r>
      <w:r w:rsidR="00FF3316">
        <w:rPr>
          <w:rFonts w:ascii="Arial"/>
          <w:color w:val="5F5F61"/>
          <w:sz w:val="28"/>
        </w:rPr>
        <w:t>meetings</w:t>
      </w:r>
    </w:p>
    <w:p w:rsidR="00BE70F2" w:rsidRDefault="00BE70F2" w:rsidP="00454B93">
      <w:pPr>
        <w:rPr>
          <w:rFonts w:ascii="Arial" w:eastAsia="Arial" w:hAnsi="Arial" w:cs="Arial"/>
          <w:sz w:val="10"/>
          <w:szCs w:val="10"/>
        </w:rPr>
      </w:pPr>
    </w:p>
    <w:p w:rsidR="00BE70F2" w:rsidRDefault="00FF3316" w:rsidP="00454B93">
      <w:pPr>
        <w:pStyle w:val="BodyText"/>
        <w:ind w:left="0"/>
      </w:pPr>
      <w:r>
        <w:t>The 10</w:t>
      </w:r>
      <w:r w:rsidR="001B3A37">
        <w:t>4</w:t>
      </w:r>
      <w:r w:rsidR="001B3A37" w:rsidRPr="001B3A37">
        <w:rPr>
          <w:vertAlign w:val="superscript"/>
        </w:rPr>
        <w:t>th</w:t>
      </w:r>
      <w:r w:rsidR="00046423">
        <w:t>–</w:t>
      </w:r>
      <w:r>
        <w:t>10</w:t>
      </w:r>
      <w:r w:rsidR="001B3A37">
        <w:t>6</w:t>
      </w:r>
      <w:r w:rsidR="001B3A37" w:rsidRPr="001B3A37">
        <w:rPr>
          <w:vertAlign w:val="superscript"/>
        </w:rPr>
        <w:t>t</w:t>
      </w:r>
      <w:r w:rsidR="001B3A37">
        <w:rPr>
          <w:vertAlign w:val="superscript"/>
        </w:rPr>
        <w:t>h</w:t>
      </w:r>
      <w:r>
        <w:rPr>
          <w:position w:val="6"/>
          <w:sz w:val="13"/>
        </w:rPr>
        <w:t xml:space="preserve"> </w:t>
      </w:r>
      <w:r>
        <w:t xml:space="preserve">meetings of the Optometry Board of Australia (the Board) were held on </w:t>
      </w:r>
      <w:r w:rsidR="006B3D6A">
        <w:br/>
      </w:r>
      <w:r w:rsidR="00173584">
        <w:t>25 July</w:t>
      </w:r>
      <w:r w:rsidR="00173584">
        <w:rPr>
          <w:w w:val="99"/>
        </w:rPr>
        <w:t>,</w:t>
      </w:r>
      <w:r>
        <w:t xml:space="preserve"> 2</w:t>
      </w:r>
      <w:r w:rsidR="005A51CA">
        <w:t>9</w:t>
      </w:r>
      <w:r>
        <w:t xml:space="preserve"> </w:t>
      </w:r>
      <w:r w:rsidR="00173584">
        <w:t>August</w:t>
      </w:r>
      <w:r>
        <w:t xml:space="preserve"> </w:t>
      </w:r>
      <w:r w:rsidR="00173584">
        <w:t xml:space="preserve">and 26 September 2019 </w:t>
      </w:r>
      <w:r>
        <w:t>in</w:t>
      </w:r>
      <w:r>
        <w:rPr>
          <w:spacing w:val="-8"/>
        </w:rPr>
        <w:t xml:space="preserve"> </w:t>
      </w:r>
      <w:r>
        <w:t>Melbourne.</w:t>
      </w:r>
    </w:p>
    <w:p w:rsidR="00BE70F2" w:rsidRDefault="00BE70F2" w:rsidP="00454B93">
      <w:pPr>
        <w:rPr>
          <w:rFonts w:ascii="Arial" w:eastAsia="Arial" w:hAnsi="Arial" w:cs="Arial"/>
          <w:sz w:val="17"/>
          <w:szCs w:val="17"/>
        </w:rPr>
      </w:pPr>
    </w:p>
    <w:p w:rsidR="00BE70F2" w:rsidRDefault="00FF3316" w:rsidP="00454B93">
      <w:pPr>
        <w:pStyle w:val="BodyText"/>
        <w:ind w:left="0"/>
      </w:pPr>
      <w:r>
        <w:t>This communiqué outlines the issues and decisions from these meetings as well as other points</w:t>
      </w:r>
      <w:r>
        <w:rPr>
          <w:spacing w:val="-18"/>
        </w:rPr>
        <w:t xml:space="preserve"> </w:t>
      </w:r>
      <w:r>
        <w:t>of</w:t>
      </w:r>
      <w:r>
        <w:rPr>
          <w:w w:val="99"/>
        </w:rPr>
        <w:t xml:space="preserve"> </w:t>
      </w:r>
      <w:r>
        <w:t>interest.</w:t>
      </w:r>
      <w:r>
        <w:rPr>
          <w:spacing w:val="-6"/>
        </w:rPr>
        <w:t xml:space="preserve"> </w:t>
      </w:r>
      <w:r>
        <w:rPr>
          <w:spacing w:val="5"/>
        </w:rPr>
        <w:t>We</w:t>
      </w:r>
      <w:r>
        <w:rPr>
          <w:spacing w:val="-3"/>
        </w:rPr>
        <w:t xml:space="preserve"> </w:t>
      </w:r>
      <w:r>
        <w:t>publish</w:t>
      </w:r>
      <w:r>
        <w:rPr>
          <w:spacing w:val="-1"/>
        </w:rPr>
        <w:t xml:space="preserve"> </w:t>
      </w:r>
      <w:r>
        <w:t>it</w:t>
      </w:r>
      <w:r>
        <w:rPr>
          <w:spacing w:val="-3"/>
        </w:rPr>
        <w:t xml:space="preserve"> </w:t>
      </w:r>
      <w:r>
        <w:t>on</w:t>
      </w:r>
      <w:r>
        <w:rPr>
          <w:spacing w:val="-3"/>
        </w:rPr>
        <w:t xml:space="preserve"> </w:t>
      </w:r>
      <w:r>
        <w:t>our</w:t>
      </w:r>
      <w:r>
        <w:rPr>
          <w:spacing w:val="-3"/>
        </w:rPr>
        <w:t xml:space="preserve"> </w:t>
      </w:r>
      <w:r>
        <w:t>website</w:t>
      </w:r>
      <w:r>
        <w:rPr>
          <w:spacing w:val="-3"/>
        </w:rPr>
        <w:t xml:space="preserve"> </w:t>
      </w:r>
      <w:r>
        <w:t>and</w:t>
      </w:r>
      <w:r>
        <w:rPr>
          <w:spacing w:val="-2"/>
        </w:rPr>
        <w:t xml:space="preserve"> </w:t>
      </w:r>
      <w:r>
        <w:t>email</w:t>
      </w:r>
      <w:r>
        <w:rPr>
          <w:spacing w:val="-4"/>
        </w:rPr>
        <w:t xml:space="preserve"> </w:t>
      </w:r>
      <w:r>
        <w:t>it</w:t>
      </w:r>
      <w:r>
        <w:rPr>
          <w:spacing w:val="-3"/>
        </w:rPr>
        <w:t xml:space="preserve"> </w:t>
      </w:r>
      <w:r>
        <w:t>to</w:t>
      </w:r>
      <w:r>
        <w:rPr>
          <w:spacing w:val="-3"/>
        </w:rPr>
        <w:t xml:space="preserve"> </w:t>
      </w:r>
      <w:r>
        <w:t>a</w:t>
      </w:r>
      <w:r>
        <w:rPr>
          <w:spacing w:val="-2"/>
        </w:rPr>
        <w:t xml:space="preserve"> </w:t>
      </w:r>
      <w:r>
        <w:t>broad</w:t>
      </w:r>
      <w:r>
        <w:rPr>
          <w:spacing w:val="-3"/>
        </w:rPr>
        <w:t xml:space="preserve"> </w:t>
      </w:r>
      <w:r>
        <w:t>range</w:t>
      </w:r>
      <w:r>
        <w:rPr>
          <w:spacing w:val="-1"/>
        </w:rPr>
        <w:t xml:space="preserve"> </w:t>
      </w:r>
      <w:r>
        <w:t>of</w:t>
      </w:r>
      <w:r>
        <w:rPr>
          <w:spacing w:val="-1"/>
        </w:rPr>
        <w:t xml:space="preserve"> </w:t>
      </w:r>
      <w:r>
        <w:t>stakeholders.</w:t>
      </w:r>
      <w:r>
        <w:rPr>
          <w:spacing w:val="-3"/>
        </w:rPr>
        <w:t xml:space="preserve"> </w:t>
      </w:r>
      <w:r>
        <w:t>Please</w:t>
      </w:r>
      <w:r>
        <w:rPr>
          <w:spacing w:val="-3"/>
        </w:rPr>
        <w:t xml:space="preserve"> </w:t>
      </w:r>
      <w:r>
        <w:t>forward</w:t>
      </w:r>
      <w:r>
        <w:rPr>
          <w:spacing w:val="-1"/>
        </w:rPr>
        <w:t xml:space="preserve"> </w:t>
      </w:r>
      <w:r>
        <w:t>it</w:t>
      </w:r>
      <w:r>
        <w:rPr>
          <w:spacing w:val="-3"/>
        </w:rPr>
        <w:t xml:space="preserve"> </w:t>
      </w:r>
      <w:r>
        <w:t>to</w:t>
      </w:r>
      <w:r>
        <w:rPr>
          <w:w w:val="99"/>
        </w:rPr>
        <w:t xml:space="preserve"> </w:t>
      </w:r>
      <w:r>
        <w:t>your colleagues and employees who may be</w:t>
      </w:r>
      <w:r>
        <w:rPr>
          <w:spacing w:val="-21"/>
        </w:rPr>
        <w:t xml:space="preserve"> </w:t>
      </w:r>
      <w:r>
        <w:t>interested.</w:t>
      </w:r>
    </w:p>
    <w:p w:rsidR="00BE70F2" w:rsidRDefault="00BE70F2" w:rsidP="00454B93">
      <w:pPr>
        <w:rPr>
          <w:rFonts w:ascii="Arial" w:eastAsia="Arial" w:hAnsi="Arial" w:cs="Arial"/>
          <w:sz w:val="17"/>
          <w:szCs w:val="17"/>
        </w:rPr>
      </w:pPr>
    </w:p>
    <w:p w:rsidR="00926AE5" w:rsidRDefault="00046423" w:rsidP="00454B93">
      <w:pPr>
        <w:pStyle w:val="Heading1"/>
        <w:ind w:left="0"/>
        <w:rPr>
          <w:color w:val="007CC3"/>
        </w:rPr>
      </w:pPr>
      <w:r>
        <w:rPr>
          <w:color w:val="007CC3"/>
        </w:rPr>
        <w:t>Board sets r</w:t>
      </w:r>
      <w:r w:rsidR="00B7585C">
        <w:rPr>
          <w:color w:val="007CC3"/>
        </w:rPr>
        <w:t>egistration fees for 2019</w:t>
      </w:r>
      <w:r>
        <w:rPr>
          <w:color w:val="007CC3"/>
        </w:rPr>
        <w:t>–</w:t>
      </w:r>
      <w:r w:rsidR="00B7585C">
        <w:rPr>
          <w:color w:val="007CC3"/>
        </w:rPr>
        <w:t>20</w:t>
      </w:r>
    </w:p>
    <w:p w:rsidR="00B7585C" w:rsidRDefault="00B7585C" w:rsidP="00454B93">
      <w:pPr>
        <w:pStyle w:val="Heading1"/>
        <w:ind w:left="0"/>
        <w:rPr>
          <w:color w:val="007CC3"/>
        </w:rPr>
      </w:pPr>
    </w:p>
    <w:p w:rsidR="00B7585C" w:rsidRPr="00B7585C" w:rsidRDefault="00B7585C" w:rsidP="00454B93">
      <w:pPr>
        <w:pStyle w:val="Heading1"/>
        <w:ind w:left="0"/>
        <w:rPr>
          <w:b w:val="0"/>
        </w:rPr>
      </w:pPr>
      <w:r w:rsidRPr="00B7585C">
        <w:rPr>
          <w:b w:val="0"/>
        </w:rPr>
        <w:t xml:space="preserve">The </w:t>
      </w:r>
      <w:r>
        <w:rPr>
          <w:b w:val="0"/>
        </w:rPr>
        <w:t>Board</w:t>
      </w:r>
      <w:r w:rsidRPr="00B7585C">
        <w:rPr>
          <w:b w:val="0"/>
        </w:rPr>
        <w:t xml:space="preserve"> announced the national registration fee for optometrists for 2019</w:t>
      </w:r>
      <w:r w:rsidR="00046423">
        <w:rPr>
          <w:b w:val="0"/>
        </w:rPr>
        <w:t>–</w:t>
      </w:r>
      <w:r w:rsidRPr="00B7585C">
        <w:rPr>
          <w:b w:val="0"/>
        </w:rPr>
        <w:t>20</w:t>
      </w:r>
      <w:r>
        <w:rPr>
          <w:b w:val="0"/>
        </w:rPr>
        <w:t xml:space="preserve"> on 19 September 2019.</w:t>
      </w:r>
    </w:p>
    <w:p w:rsidR="00B7585C" w:rsidRDefault="00B7585C" w:rsidP="00454B93">
      <w:pPr>
        <w:pStyle w:val="Heading1"/>
        <w:ind w:left="0"/>
        <w:rPr>
          <w:b w:val="0"/>
        </w:rPr>
      </w:pPr>
      <w:r w:rsidRPr="00B7585C">
        <w:rPr>
          <w:b w:val="0"/>
        </w:rPr>
        <w:t>The Board has increased the registration fee, limiting the increase to indexation of 2.5%</w:t>
      </w:r>
      <w:r w:rsidR="00C55B3C">
        <w:rPr>
          <w:b w:val="0"/>
        </w:rPr>
        <w:t xml:space="preserve"> or $8 for the full year</w:t>
      </w:r>
      <w:r w:rsidRPr="00B7585C">
        <w:rPr>
          <w:b w:val="0"/>
        </w:rPr>
        <w:t xml:space="preserve"> for optometrists</w:t>
      </w:r>
      <w:r w:rsidR="0014111D">
        <w:rPr>
          <w:b w:val="0"/>
        </w:rPr>
        <w:t>,</w:t>
      </w:r>
      <w:r w:rsidRPr="00B7585C">
        <w:rPr>
          <w:b w:val="0"/>
        </w:rPr>
        <w:t xml:space="preserve"> </w:t>
      </w:r>
      <w:r w:rsidR="00046423">
        <w:rPr>
          <w:b w:val="0"/>
        </w:rPr>
        <w:t>after</w:t>
      </w:r>
      <w:r w:rsidRPr="00B7585C">
        <w:rPr>
          <w:b w:val="0"/>
        </w:rPr>
        <w:t xml:space="preserve"> a two-year freeze</w:t>
      </w:r>
      <w:r w:rsidR="00046423">
        <w:rPr>
          <w:b w:val="0"/>
        </w:rPr>
        <w:t>. The fee increases from</w:t>
      </w:r>
      <w:r w:rsidRPr="00B7585C">
        <w:rPr>
          <w:b w:val="0"/>
        </w:rPr>
        <w:t xml:space="preserve"> $300</w:t>
      </w:r>
      <w:r w:rsidR="00C55B3C">
        <w:rPr>
          <w:b w:val="0"/>
        </w:rPr>
        <w:t xml:space="preserve"> to $308</w:t>
      </w:r>
      <w:r w:rsidRPr="00B7585C">
        <w:rPr>
          <w:b w:val="0"/>
        </w:rPr>
        <w:t>.</w:t>
      </w:r>
      <w:r>
        <w:rPr>
          <w:b w:val="0"/>
        </w:rPr>
        <w:t xml:space="preserve"> </w:t>
      </w:r>
    </w:p>
    <w:p w:rsidR="00B7585C" w:rsidRDefault="00B7585C" w:rsidP="00454B93">
      <w:pPr>
        <w:pStyle w:val="Heading1"/>
        <w:ind w:left="0"/>
        <w:rPr>
          <w:b w:val="0"/>
        </w:rPr>
      </w:pPr>
    </w:p>
    <w:p w:rsidR="00B7585C" w:rsidRPr="00B7585C" w:rsidRDefault="00B7585C" w:rsidP="00454B93">
      <w:pPr>
        <w:pStyle w:val="Heading1"/>
        <w:ind w:left="0"/>
        <w:rPr>
          <w:b w:val="0"/>
        </w:rPr>
      </w:pPr>
      <w:r>
        <w:rPr>
          <w:b w:val="0"/>
        </w:rPr>
        <w:t xml:space="preserve">This compares to </w:t>
      </w:r>
      <w:r w:rsidRPr="00B7585C">
        <w:rPr>
          <w:b w:val="0"/>
        </w:rPr>
        <w:t xml:space="preserve">11 National Boards (Aboriginal and Torres Strait Island Health Practice, dental, medical, medical radiation practice, nursing and midwifery, occupational therapy, optometry, paramedicine, pharmacy, physiotherapy and psychology) </w:t>
      </w:r>
      <w:r>
        <w:rPr>
          <w:b w:val="0"/>
        </w:rPr>
        <w:t>which have</w:t>
      </w:r>
      <w:r w:rsidRPr="00B7585C">
        <w:rPr>
          <w:b w:val="0"/>
        </w:rPr>
        <w:t xml:space="preserve"> increased fees by indexation (</w:t>
      </w:r>
      <w:r w:rsidR="00C55B3C">
        <w:rPr>
          <w:b w:val="0"/>
        </w:rPr>
        <w:t>rang</w:t>
      </w:r>
      <w:r w:rsidR="00046423">
        <w:rPr>
          <w:b w:val="0"/>
        </w:rPr>
        <w:t>ing</w:t>
      </w:r>
      <w:r w:rsidR="00C55B3C">
        <w:rPr>
          <w:b w:val="0"/>
        </w:rPr>
        <w:t xml:space="preserve"> </w:t>
      </w:r>
      <w:r w:rsidR="00046423">
        <w:rPr>
          <w:b w:val="0"/>
        </w:rPr>
        <w:t>from</w:t>
      </w:r>
      <w:r w:rsidR="00AE5B13">
        <w:rPr>
          <w:b w:val="0"/>
        </w:rPr>
        <w:t xml:space="preserve"> 2.5% </w:t>
      </w:r>
      <w:r w:rsidRPr="00B7585C">
        <w:rPr>
          <w:b w:val="0"/>
        </w:rPr>
        <w:t>to 3%).</w:t>
      </w:r>
    </w:p>
    <w:p w:rsidR="00B7585C" w:rsidRPr="00B7585C" w:rsidRDefault="00B7585C" w:rsidP="00454B93">
      <w:pPr>
        <w:pStyle w:val="Heading1"/>
        <w:ind w:left="0"/>
        <w:rPr>
          <w:b w:val="0"/>
        </w:rPr>
      </w:pPr>
    </w:p>
    <w:p w:rsidR="00B7585C" w:rsidRPr="00B7585C" w:rsidRDefault="00B7585C" w:rsidP="00454B93">
      <w:pPr>
        <w:pStyle w:val="Heading1"/>
        <w:ind w:left="0"/>
        <w:rPr>
          <w:b w:val="0"/>
        </w:rPr>
      </w:pPr>
      <w:r w:rsidRPr="00B7585C">
        <w:rPr>
          <w:b w:val="0"/>
        </w:rPr>
        <w:t>A full fee schedule, including the fee arrangements for practitioners whose principal place of practice is N</w:t>
      </w:r>
      <w:r w:rsidR="00046423">
        <w:rPr>
          <w:b w:val="0"/>
        </w:rPr>
        <w:t xml:space="preserve">ew </w:t>
      </w:r>
      <w:r w:rsidRPr="00B7585C">
        <w:rPr>
          <w:b w:val="0"/>
        </w:rPr>
        <w:t>S</w:t>
      </w:r>
      <w:r w:rsidR="00046423">
        <w:rPr>
          <w:b w:val="0"/>
        </w:rPr>
        <w:t xml:space="preserve">outh </w:t>
      </w:r>
      <w:r w:rsidRPr="00B7585C">
        <w:rPr>
          <w:b w:val="0"/>
        </w:rPr>
        <w:t>W</w:t>
      </w:r>
      <w:r w:rsidR="00046423">
        <w:rPr>
          <w:b w:val="0"/>
        </w:rPr>
        <w:t>ales</w:t>
      </w:r>
      <w:r w:rsidRPr="00B7585C">
        <w:rPr>
          <w:b w:val="0"/>
        </w:rPr>
        <w:t xml:space="preserve">, is published on the Board’s </w:t>
      </w:r>
      <w:hyperlink r:id="rId8" w:history="1">
        <w:r w:rsidRPr="00C55B3C">
          <w:rPr>
            <w:rStyle w:val="Hyperlink"/>
            <w:b w:val="0"/>
          </w:rPr>
          <w:t>website</w:t>
        </w:r>
      </w:hyperlink>
      <w:r w:rsidRPr="00B7585C">
        <w:rPr>
          <w:b w:val="0"/>
        </w:rPr>
        <w:t>.</w:t>
      </w:r>
    </w:p>
    <w:p w:rsidR="00B7585C" w:rsidRPr="00B7585C" w:rsidRDefault="00B7585C" w:rsidP="00454B93">
      <w:pPr>
        <w:pStyle w:val="Heading1"/>
        <w:ind w:left="0"/>
        <w:rPr>
          <w:b w:val="0"/>
        </w:rPr>
      </w:pPr>
    </w:p>
    <w:p w:rsidR="00AE5B13" w:rsidRPr="00AE5B13" w:rsidRDefault="00B7585C" w:rsidP="00454B93">
      <w:pPr>
        <w:pStyle w:val="Heading1"/>
        <w:ind w:left="0"/>
        <w:rPr>
          <w:b w:val="0"/>
        </w:rPr>
      </w:pPr>
      <w:r w:rsidRPr="00B7585C">
        <w:rPr>
          <w:b w:val="0"/>
        </w:rPr>
        <w:t>The Board’s decision to increase the fee for the 2019</w:t>
      </w:r>
      <w:r w:rsidR="00046423">
        <w:rPr>
          <w:b w:val="0"/>
        </w:rPr>
        <w:t>–</w:t>
      </w:r>
      <w:r w:rsidRPr="00B7585C">
        <w:rPr>
          <w:b w:val="0"/>
        </w:rPr>
        <w:t>20 period will help the Board</w:t>
      </w:r>
      <w:r w:rsidR="00046423">
        <w:rPr>
          <w:b w:val="0"/>
        </w:rPr>
        <w:t>,</w:t>
      </w:r>
      <w:r w:rsidRPr="00B7585C">
        <w:rPr>
          <w:b w:val="0"/>
        </w:rPr>
        <w:t xml:space="preserve"> together with AHPRA and </w:t>
      </w:r>
      <w:r w:rsidR="00C122BF">
        <w:rPr>
          <w:b w:val="0"/>
        </w:rPr>
        <w:t xml:space="preserve">the Board’s </w:t>
      </w:r>
      <w:r w:rsidRPr="00B7585C">
        <w:rPr>
          <w:b w:val="0"/>
        </w:rPr>
        <w:t>Accreditation Council</w:t>
      </w:r>
      <w:r w:rsidR="00046423">
        <w:rPr>
          <w:b w:val="0"/>
        </w:rPr>
        <w:t>,</w:t>
      </w:r>
      <w:r w:rsidRPr="00B7585C">
        <w:rPr>
          <w:b w:val="0"/>
        </w:rPr>
        <w:t xml:space="preserve"> </w:t>
      </w:r>
      <w:r w:rsidR="00C55B3C">
        <w:rPr>
          <w:b w:val="0"/>
        </w:rPr>
        <w:t>undertake</w:t>
      </w:r>
      <w:r w:rsidRPr="00B7585C">
        <w:rPr>
          <w:b w:val="0"/>
        </w:rPr>
        <w:t xml:space="preserve"> the increased costs of its statutory responsibilities to protect the public.</w:t>
      </w:r>
      <w:r w:rsidR="00046423">
        <w:rPr>
          <w:b w:val="0"/>
        </w:rPr>
        <w:t xml:space="preserve"> A</w:t>
      </w:r>
      <w:r w:rsidR="00C55B3C">
        <w:rPr>
          <w:b w:val="0"/>
        </w:rPr>
        <w:t xml:space="preserve">ll </w:t>
      </w:r>
      <w:r w:rsidR="00AE5B13" w:rsidRPr="00AE5B13">
        <w:rPr>
          <w:b w:val="0"/>
        </w:rPr>
        <w:t>National Boards</w:t>
      </w:r>
      <w:r w:rsidR="00046423">
        <w:rPr>
          <w:b w:val="0"/>
        </w:rPr>
        <w:t xml:space="preserve"> work</w:t>
      </w:r>
      <w:r w:rsidR="00AE5B13" w:rsidRPr="00AE5B13">
        <w:rPr>
          <w:b w:val="0"/>
        </w:rPr>
        <w:t xml:space="preserve"> in partnership with AHPRA to keep the public safe by:</w:t>
      </w:r>
    </w:p>
    <w:p w:rsidR="00AE5B13" w:rsidRPr="00AE5B13" w:rsidRDefault="00AE5B13" w:rsidP="00454B93">
      <w:pPr>
        <w:pStyle w:val="Heading1"/>
        <w:ind w:left="0"/>
        <w:rPr>
          <w:b w:val="0"/>
        </w:rPr>
      </w:pPr>
    </w:p>
    <w:p w:rsidR="00454B93" w:rsidRDefault="00AE5B13" w:rsidP="00454B93">
      <w:pPr>
        <w:pStyle w:val="Heading1"/>
        <w:numPr>
          <w:ilvl w:val="0"/>
          <w:numId w:val="13"/>
        </w:numPr>
        <w:rPr>
          <w:b w:val="0"/>
        </w:rPr>
      </w:pPr>
      <w:r w:rsidRPr="00AE5B13">
        <w:rPr>
          <w:b w:val="0"/>
        </w:rPr>
        <w:t xml:space="preserve">supporting national registration to ensure only qualified, competent health practitioners can </w:t>
      </w:r>
      <w:proofErr w:type="spellStart"/>
      <w:r w:rsidRPr="00AE5B13">
        <w:rPr>
          <w:b w:val="0"/>
        </w:rPr>
        <w:t>practise</w:t>
      </w:r>
      <w:proofErr w:type="spellEnd"/>
      <w:r w:rsidRPr="00AE5B13">
        <w:rPr>
          <w:b w:val="0"/>
        </w:rPr>
        <w:t xml:space="preserve"> in</w:t>
      </w:r>
      <w:r w:rsidR="00454B93">
        <w:rPr>
          <w:b w:val="0"/>
        </w:rPr>
        <w:t xml:space="preserve"> </w:t>
      </w:r>
      <w:r w:rsidRPr="00AE5B13">
        <w:rPr>
          <w:b w:val="0"/>
        </w:rPr>
        <w:t>Australia</w:t>
      </w:r>
    </w:p>
    <w:p w:rsidR="00454B93" w:rsidRDefault="00AE5B13" w:rsidP="00454B93">
      <w:pPr>
        <w:pStyle w:val="Heading1"/>
        <w:numPr>
          <w:ilvl w:val="0"/>
          <w:numId w:val="13"/>
        </w:numPr>
        <w:rPr>
          <w:b w:val="0"/>
        </w:rPr>
      </w:pPr>
      <w:r w:rsidRPr="00454B93">
        <w:rPr>
          <w:b w:val="0"/>
        </w:rPr>
        <w:t>developing evidence-based and practice-tested standards, codes and guidelines</w:t>
      </w:r>
    </w:p>
    <w:p w:rsidR="00454B93" w:rsidRDefault="00AE5B13" w:rsidP="00454B93">
      <w:pPr>
        <w:pStyle w:val="Heading1"/>
        <w:numPr>
          <w:ilvl w:val="0"/>
          <w:numId w:val="13"/>
        </w:numPr>
        <w:rPr>
          <w:b w:val="0"/>
        </w:rPr>
      </w:pPr>
      <w:r w:rsidRPr="00454B93">
        <w:rPr>
          <w:b w:val="0"/>
        </w:rPr>
        <w:t>investigating concerns raised about registered health practitioners,</w:t>
      </w:r>
      <w:r w:rsidR="00C55B3C" w:rsidRPr="00454B93">
        <w:rPr>
          <w:b w:val="0"/>
        </w:rPr>
        <w:t xml:space="preserve"> and</w:t>
      </w:r>
    </w:p>
    <w:p w:rsidR="00AE5B13" w:rsidRPr="00454B93" w:rsidRDefault="00AE5B13" w:rsidP="00454B93">
      <w:pPr>
        <w:pStyle w:val="Heading1"/>
        <w:numPr>
          <w:ilvl w:val="0"/>
          <w:numId w:val="13"/>
        </w:numPr>
        <w:rPr>
          <w:b w:val="0"/>
        </w:rPr>
      </w:pPr>
      <w:r w:rsidRPr="00454B93">
        <w:rPr>
          <w:b w:val="0"/>
        </w:rPr>
        <w:t>approving accredited programs of study lead</w:t>
      </w:r>
      <w:r w:rsidR="00046423" w:rsidRPr="00454B93">
        <w:rPr>
          <w:b w:val="0"/>
        </w:rPr>
        <w:t>ing</w:t>
      </w:r>
      <w:r w:rsidRPr="00454B93">
        <w:rPr>
          <w:b w:val="0"/>
        </w:rPr>
        <w:t xml:space="preserve"> to registration and endorsement.</w:t>
      </w:r>
    </w:p>
    <w:p w:rsidR="00C55B3C" w:rsidRDefault="00C55B3C" w:rsidP="00454B93">
      <w:pPr>
        <w:pStyle w:val="Heading1"/>
        <w:ind w:left="0"/>
        <w:rPr>
          <w:b w:val="0"/>
        </w:rPr>
      </w:pPr>
    </w:p>
    <w:p w:rsidR="00B7585C" w:rsidRPr="00B7585C" w:rsidRDefault="00C55B3C" w:rsidP="00454B93">
      <w:pPr>
        <w:pStyle w:val="Heading1"/>
        <w:ind w:left="0"/>
        <w:rPr>
          <w:b w:val="0"/>
        </w:rPr>
      </w:pPr>
      <w:r>
        <w:rPr>
          <w:b w:val="0"/>
        </w:rPr>
        <w:t>The r</w:t>
      </w:r>
      <w:r w:rsidR="00AE5B13" w:rsidRPr="00AE5B13">
        <w:rPr>
          <w:b w:val="0"/>
        </w:rPr>
        <w:t>egulation of health practitioners in Australia is entirely funded by fees from registered practitioners, with no funding from governments.</w:t>
      </w:r>
    </w:p>
    <w:p w:rsidR="00B7585C" w:rsidRPr="00F83830" w:rsidRDefault="00B7585C" w:rsidP="00454B93">
      <w:pPr>
        <w:pStyle w:val="Heading1"/>
        <w:ind w:left="0"/>
      </w:pPr>
    </w:p>
    <w:p w:rsidR="0023510C" w:rsidRPr="0023510C" w:rsidRDefault="0023510C" w:rsidP="00454B93">
      <w:pPr>
        <w:pStyle w:val="AHPRADocumentsubheading"/>
        <w:jc w:val="both"/>
        <w:rPr>
          <w:b/>
          <w:sz w:val="20"/>
          <w:szCs w:val="20"/>
        </w:rPr>
      </w:pPr>
      <w:r w:rsidRPr="00F83830">
        <w:rPr>
          <w:b/>
          <w:color w:val="007CC3"/>
          <w:sz w:val="20"/>
          <w:szCs w:val="20"/>
        </w:rPr>
        <w:t>Minor amendments to guidelines for use of scheduled medicines</w:t>
      </w:r>
    </w:p>
    <w:p w:rsidR="00046423" w:rsidRDefault="00046423" w:rsidP="00454B93">
      <w:pPr>
        <w:pStyle w:val="AHPRAbody"/>
      </w:pPr>
      <w:r>
        <w:t xml:space="preserve">The Optometry Board of Australia (the Board) has made minor amendments to appendices in the </w:t>
      </w:r>
      <w:r>
        <w:rPr>
          <w:i/>
        </w:rPr>
        <w:t xml:space="preserve">Guidelines for use of scheduled medicines </w:t>
      </w:r>
      <w:r>
        <w:t>after receiving support from a vast majority of stakeholders.</w:t>
      </w:r>
    </w:p>
    <w:p w:rsidR="00046423" w:rsidRDefault="00046423" w:rsidP="00454B93">
      <w:pPr>
        <w:pStyle w:val="AHPRAbody"/>
      </w:pPr>
      <w:r>
        <w:t>Appendix A and Appendix B of the guidelines have been amended following extensive consultation with stakeholders including government health departments.</w:t>
      </w:r>
    </w:p>
    <w:p w:rsidR="00046423" w:rsidRDefault="00046423" w:rsidP="00454B93">
      <w:pPr>
        <w:pStyle w:val="AHPRAbody"/>
      </w:pPr>
      <w:r>
        <w:t>Appendix A of the guidelines has been amended with a change in the concentration of phenylephrine to 2.5% to reflect the standard concentration mass produced for dilation and cycloplegia.</w:t>
      </w:r>
    </w:p>
    <w:p w:rsidR="00046423" w:rsidRDefault="00046423" w:rsidP="00454B93">
      <w:pPr>
        <w:pStyle w:val="AHPRAbody"/>
      </w:pPr>
      <w:r>
        <w:t>The Board has made three changes to Appendix B. Amendments have been made to:</w:t>
      </w:r>
    </w:p>
    <w:p w:rsidR="000F4B0D" w:rsidRDefault="00046423" w:rsidP="000F4B0D">
      <w:pPr>
        <w:pStyle w:val="AHPRAbody"/>
        <w:numPr>
          <w:ilvl w:val="0"/>
          <w:numId w:val="14"/>
        </w:numPr>
        <w:spacing w:after="0"/>
      </w:pPr>
      <w:r>
        <w:lastRenderedPageBreak/>
        <w:t xml:space="preserve">correctly categorise four schedule 2 drugs, Antazoline, Azelastine, Ketotifen and </w:t>
      </w:r>
      <w:proofErr w:type="spellStart"/>
      <w:r>
        <w:t>Levocabastine</w:t>
      </w:r>
      <w:proofErr w:type="spellEnd"/>
      <w:r>
        <w:t xml:space="preserve"> from a former incorrect category of anti-inflammatories to fall under the correct category of decongestants/anti-</w:t>
      </w:r>
      <w:proofErr w:type="spellStart"/>
      <w:r>
        <w:t>allergics</w:t>
      </w:r>
      <w:proofErr w:type="spellEnd"/>
    </w:p>
    <w:p w:rsidR="000F4B0D" w:rsidRDefault="00046423" w:rsidP="000F4B0D">
      <w:pPr>
        <w:pStyle w:val="AHPRAbody"/>
        <w:numPr>
          <w:ilvl w:val="0"/>
          <w:numId w:val="14"/>
        </w:numPr>
        <w:spacing w:after="0"/>
      </w:pPr>
      <w:r>
        <w:t>amend the reference to phenylephrine from 1% to 2.5%</w:t>
      </w:r>
      <w:r w:rsidR="002560F4">
        <w:t xml:space="preserve"> or less</w:t>
      </w:r>
      <w:r>
        <w:t>, and</w:t>
      </w:r>
    </w:p>
    <w:p w:rsidR="00046423" w:rsidRDefault="00046423" w:rsidP="000F4B0D">
      <w:pPr>
        <w:pStyle w:val="AHPRAbody"/>
        <w:numPr>
          <w:ilvl w:val="0"/>
          <w:numId w:val="14"/>
        </w:numPr>
        <w:spacing w:after="0"/>
      </w:pPr>
      <w:r>
        <w:t>to add a drug, Ganciclovir to the schedule 4 anti-infectives category in the event it becomes TGA-approved.</w:t>
      </w:r>
    </w:p>
    <w:p w:rsidR="00046423" w:rsidRDefault="00046423" w:rsidP="00454B93">
      <w:pPr>
        <w:pStyle w:val="AHPRAbody"/>
        <w:spacing w:after="0"/>
      </w:pPr>
    </w:p>
    <w:p w:rsidR="00046423" w:rsidRDefault="00046423" w:rsidP="00454B93">
      <w:pPr>
        <w:pStyle w:val="AHPRAbody"/>
        <w:spacing w:after="0"/>
      </w:pPr>
      <w:r>
        <w:t>The remaining content in the guidelines and Appendix C are unchanged.</w:t>
      </w:r>
    </w:p>
    <w:p w:rsidR="00046423" w:rsidRDefault="00046423" w:rsidP="00454B93">
      <w:pPr>
        <w:pStyle w:val="AHPRAbody"/>
        <w:spacing w:after="0"/>
      </w:pPr>
    </w:p>
    <w:p w:rsidR="00046423" w:rsidRPr="00F83830" w:rsidRDefault="00046423" w:rsidP="00454B93">
      <w:pPr>
        <w:pStyle w:val="AHPRAbody"/>
        <w:spacing w:after="0"/>
        <w:jc w:val="both"/>
      </w:pPr>
      <w:r>
        <w:t xml:space="preserve">The Board considers the proposed revisions benefit public safety, will have a minor effect on the profession </w:t>
      </w:r>
      <w:r w:rsidR="0023510C">
        <w:t xml:space="preserve">  </w:t>
      </w:r>
      <w:r>
        <w:t xml:space="preserve">and are intended to help endorsed optometrists to deliver timely, safe and quality health services. The revised appendices to the </w:t>
      </w:r>
      <w:r>
        <w:rPr>
          <w:i/>
        </w:rPr>
        <w:t xml:space="preserve">Guidelines for use of scheduled medicines </w:t>
      </w:r>
      <w:r>
        <w:t xml:space="preserve">are available on the </w:t>
      </w:r>
      <w:hyperlink r:id="rId9" w:history="1">
        <w:r w:rsidRPr="00185204">
          <w:rPr>
            <w:rStyle w:val="Hyperlink"/>
          </w:rPr>
          <w:t>Endorsement for scheduled medicines</w:t>
        </w:r>
      </w:hyperlink>
      <w:r>
        <w:t xml:space="preserve"> page of the </w:t>
      </w:r>
      <w:r w:rsidRPr="009A79A6">
        <w:t>Board’s website</w:t>
      </w:r>
      <w:r>
        <w:t>.</w:t>
      </w:r>
    </w:p>
    <w:p w:rsidR="00046423" w:rsidRDefault="00046423" w:rsidP="00454B93">
      <w:pPr>
        <w:pStyle w:val="Heading1"/>
        <w:ind w:left="0"/>
        <w:rPr>
          <w:color w:val="007CC3"/>
        </w:rPr>
      </w:pPr>
    </w:p>
    <w:p w:rsidR="00C22CA2" w:rsidRDefault="00C22CA2" w:rsidP="00454B93">
      <w:pPr>
        <w:pStyle w:val="Heading1"/>
        <w:ind w:left="0"/>
        <w:rPr>
          <w:color w:val="007CC3"/>
        </w:rPr>
      </w:pPr>
      <w:r>
        <w:rPr>
          <w:color w:val="007CC3"/>
        </w:rPr>
        <w:t xml:space="preserve">Reminder for final year graduates to register early </w:t>
      </w:r>
    </w:p>
    <w:p w:rsidR="00C22CA2" w:rsidRDefault="00C22CA2" w:rsidP="00454B93">
      <w:pPr>
        <w:pStyle w:val="Heading1"/>
        <w:ind w:left="0"/>
        <w:rPr>
          <w:color w:val="007CC3"/>
        </w:rPr>
      </w:pPr>
    </w:p>
    <w:p w:rsidR="00C22CA2" w:rsidRDefault="00C22CA2" w:rsidP="00454B93">
      <w:pPr>
        <w:pStyle w:val="Heading1"/>
        <w:ind w:left="0"/>
        <w:rPr>
          <w:color w:val="007CC3"/>
        </w:rPr>
      </w:pPr>
      <w:r w:rsidRPr="00C22CA2">
        <w:rPr>
          <w:b w:val="0"/>
        </w:rPr>
        <w:t xml:space="preserve">The </w:t>
      </w:r>
      <w:r>
        <w:rPr>
          <w:b w:val="0"/>
        </w:rPr>
        <w:t>Board would like to remind final year graduates who have passed their final year examinations to register online with AHPRA as soon as possible</w:t>
      </w:r>
      <w:r w:rsidR="00046423">
        <w:rPr>
          <w:b w:val="0"/>
        </w:rPr>
        <w:t>.</w:t>
      </w:r>
      <w:r>
        <w:rPr>
          <w:b w:val="0"/>
        </w:rPr>
        <w:t xml:space="preserve"> </w:t>
      </w:r>
      <w:r w:rsidR="00046423">
        <w:rPr>
          <w:b w:val="0"/>
        </w:rPr>
        <w:t>T</w:t>
      </w:r>
      <w:r>
        <w:rPr>
          <w:b w:val="0"/>
        </w:rPr>
        <w:t xml:space="preserve">he process of obtaining registration and endorsement to practice as an optometrist </w:t>
      </w:r>
      <w:r w:rsidR="00046423">
        <w:rPr>
          <w:b w:val="0"/>
        </w:rPr>
        <w:t>may</w:t>
      </w:r>
      <w:r>
        <w:rPr>
          <w:b w:val="0"/>
        </w:rPr>
        <w:t xml:space="preserve"> take six weeks, providing all details</w:t>
      </w:r>
      <w:r w:rsidR="002B23DE">
        <w:rPr>
          <w:b w:val="0"/>
        </w:rPr>
        <w:t xml:space="preserve"> </w:t>
      </w:r>
      <w:r>
        <w:rPr>
          <w:b w:val="0"/>
        </w:rPr>
        <w:t xml:space="preserve">in your application are in order. Please ensure that the name you wish to register under is </w:t>
      </w:r>
      <w:proofErr w:type="gramStart"/>
      <w:r>
        <w:rPr>
          <w:b w:val="0"/>
        </w:rPr>
        <w:t>exactly the same</w:t>
      </w:r>
      <w:proofErr w:type="gramEnd"/>
      <w:r>
        <w:rPr>
          <w:b w:val="0"/>
        </w:rPr>
        <w:t xml:space="preserve"> as</w:t>
      </w:r>
      <w:r w:rsidR="00046423">
        <w:rPr>
          <w:b w:val="0"/>
        </w:rPr>
        <w:t xml:space="preserve"> that recorded in</w:t>
      </w:r>
      <w:r>
        <w:rPr>
          <w:b w:val="0"/>
        </w:rPr>
        <w:t xml:space="preserve"> your passport.</w:t>
      </w:r>
    </w:p>
    <w:p w:rsidR="00C22CA2" w:rsidRDefault="00C22CA2" w:rsidP="00454B93">
      <w:pPr>
        <w:pStyle w:val="Heading1"/>
        <w:ind w:left="0"/>
        <w:rPr>
          <w:color w:val="007CC3"/>
        </w:rPr>
      </w:pPr>
    </w:p>
    <w:p w:rsidR="00BE70F2" w:rsidRDefault="006B3D6A" w:rsidP="00454B93">
      <w:pPr>
        <w:pStyle w:val="Heading1"/>
        <w:ind w:left="0"/>
        <w:rPr>
          <w:b w:val="0"/>
          <w:bCs w:val="0"/>
        </w:rPr>
      </w:pPr>
      <w:r>
        <w:rPr>
          <w:color w:val="007CC3"/>
        </w:rPr>
        <w:t>Establishment of a new working group on emerging issues</w:t>
      </w:r>
    </w:p>
    <w:p w:rsidR="00BE70F2" w:rsidRDefault="00BE70F2" w:rsidP="00454B93">
      <w:pPr>
        <w:rPr>
          <w:rFonts w:ascii="Arial" w:eastAsia="Arial" w:hAnsi="Arial" w:cs="Arial"/>
          <w:b/>
          <w:bCs/>
          <w:sz w:val="17"/>
          <w:szCs w:val="17"/>
        </w:rPr>
      </w:pPr>
    </w:p>
    <w:p w:rsidR="006B3D6A" w:rsidRDefault="00FF3316" w:rsidP="00454B93">
      <w:pPr>
        <w:pStyle w:val="BodyText"/>
        <w:ind w:left="0"/>
      </w:pPr>
      <w:r>
        <w:t xml:space="preserve">The </w:t>
      </w:r>
      <w:r w:rsidR="006B3D6A">
        <w:t xml:space="preserve">Board has established a new </w:t>
      </w:r>
      <w:r w:rsidR="006B0D53">
        <w:t xml:space="preserve">internal </w:t>
      </w:r>
      <w:r w:rsidR="006B3D6A">
        <w:t xml:space="preserve">working group to provide it with evidentiary information </w:t>
      </w:r>
      <w:r w:rsidR="009074D2">
        <w:t xml:space="preserve">on </w:t>
      </w:r>
      <w:r w:rsidR="00347599">
        <w:t>emerging</w:t>
      </w:r>
      <w:r w:rsidR="006B0D53" w:rsidRPr="006B0D53">
        <w:t xml:space="preserve"> issues in therapeutic and clinical ophthalmic procedures</w:t>
      </w:r>
      <w:r w:rsidR="00046423">
        <w:t>. This includes issues</w:t>
      </w:r>
      <w:r w:rsidR="006B0D53" w:rsidRPr="006B0D53">
        <w:t xml:space="preserve"> in national and international spheres that are likely to become a part of the practice of </w:t>
      </w:r>
      <w:r w:rsidR="00C22CA2">
        <w:t>o</w:t>
      </w:r>
      <w:r w:rsidR="006B0D53" w:rsidRPr="006B0D53">
        <w:t>ptometry in Australia</w:t>
      </w:r>
      <w:r w:rsidR="00743452">
        <w:t xml:space="preserve">. Its role is </w:t>
      </w:r>
      <w:r w:rsidR="008461D6">
        <w:t xml:space="preserve">to </w:t>
      </w:r>
      <w:r w:rsidR="006B0D53">
        <w:t xml:space="preserve">advise on the </w:t>
      </w:r>
      <w:r w:rsidR="008461D6">
        <w:t xml:space="preserve">implications on the </w:t>
      </w:r>
      <w:r w:rsidR="006B0D53">
        <w:t>profession’s readiness, competencies and future training needs</w:t>
      </w:r>
      <w:r w:rsidR="008461D6">
        <w:t xml:space="preserve"> and to advise on the implications for the Board’s regulatory functions. </w:t>
      </w:r>
    </w:p>
    <w:p w:rsidR="00513E49" w:rsidRDefault="00513E49" w:rsidP="00454B93">
      <w:pPr>
        <w:pStyle w:val="BodyText"/>
        <w:ind w:left="0"/>
      </w:pPr>
    </w:p>
    <w:p w:rsidR="00BE70F2" w:rsidRDefault="00E04AB0" w:rsidP="00454B93">
      <w:pPr>
        <w:pStyle w:val="Heading1"/>
        <w:ind w:left="0"/>
        <w:rPr>
          <w:color w:val="007CC3"/>
        </w:rPr>
      </w:pPr>
      <w:r>
        <w:rPr>
          <w:color w:val="007CC3"/>
        </w:rPr>
        <w:t>Health Profession Agreement</w:t>
      </w:r>
      <w:r w:rsidR="00FF3316">
        <w:rPr>
          <w:color w:val="007CC3"/>
        </w:rPr>
        <w:t xml:space="preserve"> 2019</w:t>
      </w:r>
      <w:r w:rsidR="00046423">
        <w:rPr>
          <w:color w:val="007CC3"/>
        </w:rPr>
        <w:softHyphen/>
        <w:t>–</w:t>
      </w:r>
      <w:r w:rsidR="00FF3316">
        <w:rPr>
          <w:color w:val="007CC3"/>
        </w:rPr>
        <w:t>20</w:t>
      </w:r>
    </w:p>
    <w:p w:rsidR="00FF3316" w:rsidRDefault="00FF3316" w:rsidP="00454B93">
      <w:pPr>
        <w:pStyle w:val="Heading1"/>
        <w:ind w:left="0"/>
        <w:rPr>
          <w:color w:val="007CC3"/>
        </w:rPr>
      </w:pPr>
    </w:p>
    <w:p w:rsidR="00BE70F2" w:rsidRDefault="007C32FC" w:rsidP="00454B93">
      <w:pPr>
        <w:pStyle w:val="Heading1"/>
        <w:ind w:left="0"/>
        <w:rPr>
          <w:b w:val="0"/>
        </w:rPr>
      </w:pPr>
      <w:r>
        <w:rPr>
          <w:b w:val="0"/>
        </w:rPr>
        <w:t xml:space="preserve">Under section 26(1) of the </w:t>
      </w:r>
      <w:r w:rsidR="00046423">
        <w:rPr>
          <w:b w:val="0"/>
        </w:rPr>
        <w:t xml:space="preserve">Health Practitioner Regulation </w:t>
      </w:r>
      <w:r>
        <w:rPr>
          <w:b w:val="0"/>
        </w:rPr>
        <w:t>National Law</w:t>
      </w:r>
      <w:r w:rsidR="00BD1421">
        <w:rPr>
          <w:b w:val="0"/>
        </w:rPr>
        <w:t xml:space="preserve"> (National Law)</w:t>
      </w:r>
      <w:r>
        <w:rPr>
          <w:b w:val="0"/>
        </w:rPr>
        <w:t xml:space="preserve">, </w:t>
      </w:r>
      <w:r w:rsidR="00C016FD">
        <w:rPr>
          <w:b w:val="0"/>
        </w:rPr>
        <w:t>AHPRA’s</w:t>
      </w:r>
      <w:r w:rsidR="00FF3316">
        <w:rPr>
          <w:b w:val="0"/>
        </w:rPr>
        <w:t xml:space="preserve"> Health Profession Agreement 2019</w:t>
      </w:r>
      <w:r w:rsidR="00046423">
        <w:rPr>
          <w:b w:val="0"/>
        </w:rPr>
        <w:t>–</w:t>
      </w:r>
      <w:r w:rsidR="00FF3316">
        <w:rPr>
          <w:b w:val="0"/>
        </w:rPr>
        <w:t>20</w:t>
      </w:r>
      <w:r w:rsidR="00C016FD">
        <w:rPr>
          <w:b w:val="0"/>
        </w:rPr>
        <w:t xml:space="preserve"> </w:t>
      </w:r>
      <w:r w:rsidR="00FF3316">
        <w:rPr>
          <w:b w:val="0"/>
        </w:rPr>
        <w:t xml:space="preserve">with </w:t>
      </w:r>
      <w:r w:rsidR="00C016FD">
        <w:rPr>
          <w:b w:val="0"/>
        </w:rPr>
        <w:t xml:space="preserve">the Board </w:t>
      </w:r>
      <w:r w:rsidR="00BF7B2D">
        <w:rPr>
          <w:b w:val="0"/>
        </w:rPr>
        <w:t>sets out</w:t>
      </w:r>
      <w:r>
        <w:rPr>
          <w:b w:val="0"/>
        </w:rPr>
        <w:t xml:space="preserve"> services to be provided by AHPRA to enable the Board to carry out its functions</w:t>
      </w:r>
      <w:r w:rsidR="00E11365">
        <w:rPr>
          <w:b w:val="0"/>
        </w:rPr>
        <w:t xml:space="preserve">. The </w:t>
      </w:r>
      <w:r w:rsidR="00BF7B2D">
        <w:rPr>
          <w:b w:val="0"/>
        </w:rPr>
        <w:t>a</w:t>
      </w:r>
      <w:r w:rsidR="00E11365">
        <w:rPr>
          <w:b w:val="0"/>
        </w:rPr>
        <w:t>greement also sets out</w:t>
      </w:r>
      <w:r w:rsidR="00926AE5">
        <w:rPr>
          <w:b w:val="0"/>
        </w:rPr>
        <w:t xml:space="preserve"> approaches to reciprocal obligations in relation to common understanding in achieving the objectives and guiding principles of the National Scheme</w:t>
      </w:r>
      <w:r w:rsidR="00BF7B2D">
        <w:rPr>
          <w:b w:val="0"/>
        </w:rPr>
        <w:t>. This includes</w:t>
      </w:r>
      <w:r w:rsidR="00926AE5">
        <w:rPr>
          <w:b w:val="0"/>
        </w:rPr>
        <w:t xml:space="preserve"> </w:t>
      </w:r>
      <w:r w:rsidR="00B7585C">
        <w:rPr>
          <w:b w:val="0"/>
        </w:rPr>
        <w:t>a performance management framework</w:t>
      </w:r>
      <w:r w:rsidR="00BF7B2D">
        <w:rPr>
          <w:b w:val="0"/>
        </w:rPr>
        <w:t xml:space="preserve"> and</w:t>
      </w:r>
      <w:r w:rsidR="00B7585C">
        <w:rPr>
          <w:b w:val="0"/>
        </w:rPr>
        <w:t xml:space="preserve"> </w:t>
      </w:r>
      <w:r>
        <w:rPr>
          <w:b w:val="0"/>
        </w:rPr>
        <w:t>the Board’s annual budge</w:t>
      </w:r>
      <w:r w:rsidR="00926AE5">
        <w:rPr>
          <w:b w:val="0"/>
        </w:rPr>
        <w:t>t and</w:t>
      </w:r>
      <w:r>
        <w:rPr>
          <w:b w:val="0"/>
        </w:rPr>
        <w:t xml:space="preserve"> fees payable by practitioners</w:t>
      </w:r>
      <w:r w:rsidR="00BF7B2D">
        <w:rPr>
          <w:b w:val="0"/>
        </w:rPr>
        <w:t>,</w:t>
      </w:r>
      <w:r w:rsidR="00926AE5">
        <w:rPr>
          <w:b w:val="0"/>
        </w:rPr>
        <w:t xml:space="preserve"> </w:t>
      </w:r>
      <w:r w:rsidR="00FF3316">
        <w:rPr>
          <w:b w:val="0"/>
        </w:rPr>
        <w:t>published on the AHPRA and</w:t>
      </w:r>
      <w:r w:rsidR="00BF7B2D">
        <w:rPr>
          <w:b w:val="0"/>
        </w:rPr>
        <w:t xml:space="preserve"> National</w:t>
      </w:r>
      <w:r w:rsidR="00FF3316">
        <w:rPr>
          <w:b w:val="0"/>
        </w:rPr>
        <w:t xml:space="preserve"> Board website</w:t>
      </w:r>
      <w:r w:rsidR="00C016FD">
        <w:rPr>
          <w:b w:val="0"/>
        </w:rPr>
        <w:t>s</w:t>
      </w:r>
      <w:r w:rsidR="00FF3316">
        <w:rPr>
          <w:b w:val="0"/>
        </w:rPr>
        <w:t>.</w:t>
      </w:r>
    </w:p>
    <w:p w:rsidR="0034633A" w:rsidRDefault="0034633A" w:rsidP="00454B93">
      <w:pPr>
        <w:pStyle w:val="Heading1"/>
        <w:ind w:left="0"/>
        <w:rPr>
          <w:b w:val="0"/>
        </w:rPr>
      </w:pPr>
    </w:p>
    <w:p w:rsidR="00104BA2" w:rsidRDefault="00104BA2" w:rsidP="00454B93">
      <w:pPr>
        <w:pStyle w:val="Heading1"/>
        <w:ind w:left="0"/>
        <w:rPr>
          <w:color w:val="007CC3"/>
        </w:rPr>
      </w:pPr>
      <w:r>
        <w:rPr>
          <w:color w:val="007CC3"/>
        </w:rPr>
        <w:t>Important consultations now open – feedback invited</w:t>
      </w:r>
    </w:p>
    <w:p w:rsidR="00104BA2" w:rsidRDefault="00104BA2" w:rsidP="00454B93">
      <w:pPr>
        <w:pStyle w:val="Heading1"/>
        <w:ind w:left="0"/>
        <w:rPr>
          <w:color w:val="007CC3"/>
        </w:rPr>
      </w:pPr>
    </w:p>
    <w:p w:rsidR="00104BA2" w:rsidRDefault="00104BA2" w:rsidP="00454B93">
      <w:pPr>
        <w:pStyle w:val="Heading1"/>
        <w:ind w:left="0"/>
        <w:rPr>
          <w:b w:val="0"/>
        </w:rPr>
      </w:pPr>
      <w:r>
        <w:rPr>
          <w:b w:val="0"/>
        </w:rPr>
        <w:t>Three public consultations are now open asking for people to have their say on revised guidance to help practitioners and others understand their mandatory notification obligations, understand their obligations when advertising a regulated health service and to support a responsive and risk-based approach to supervised practice.</w:t>
      </w:r>
    </w:p>
    <w:p w:rsidR="00104BA2" w:rsidRDefault="00104BA2" w:rsidP="00454B93">
      <w:pPr>
        <w:pStyle w:val="Heading1"/>
        <w:ind w:left="0"/>
        <w:rPr>
          <w:b w:val="0"/>
        </w:rPr>
      </w:pPr>
    </w:p>
    <w:p w:rsidR="00104BA2" w:rsidRDefault="00104BA2" w:rsidP="00454B93">
      <w:pPr>
        <w:pStyle w:val="Heading1"/>
        <w:ind w:left="0"/>
        <w:rPr>
          <w:b w:val="0"/>
        </w:rPr>
      </w:pPr>
      <w:r>
        <w:rPr>
          <w:b w:val="0"/>
        </w:rPr>
        <w:t>The Board is conducting the consultations alongside other National Boards and AHPRA on:</w:t>
      </w:r>
    </w:p>
    <w:p w:rsidR="00104BA2" w:rsidRDefault="00104BA2" w:rsidP="00454B93">
      <w:pPr>
        <w:pStyle w:val="Heading1"/>
        <w:ind w:left="0"/>
        <w:rPr>
          <w:b w:val="0"/>
        </w:rPr>
      </w:pPr>
    </w:p>
    <w:p w:rsidR="00454B93" w:rsidRDefault="00104BA2" w:rsidP="00454B93">
      <w:pPr>
        <w:pStyle w:val="Heading1"/>
        <w:numPr>
          <w:ilvl w:val="0"/>
          <w:numId w:val="6"/>
        </w:numPr>
        <w:rPr>
          <w:b w:val="0"/>
        </w:rPr>
      </w:pPr>
      <w:r>
        <w:rPr>
          <w:b w:val="0"/>
        </w:rPr>
        <w:t xml:space="preserve">revised </w:t>
      </w:r>
      <w:r>
        <w:rPr>
          <w:b w:val="0"/>
          <w:i/>
        </w:rPr>
        <w:t xml:space="preserve">Guidelines: Mandatory notifications about registered health practitioners </w:t>
      </w:r>
      <w:r>
        <w:rPr>
          <w:b w:val="0"/>
        </w:rPr>
        <w:t xml:space="preserve">and </w:t>
      </w:r>
      <w:r>
        <w:rPr>
          <w:b w:val="0"/>
          <w:i/>
        </w:rPr>
        <w:t>Guidelines: Mandatory notifications about health students</w:t>
      </w:r>
    </w:p>
    <w:p w:rsidR="00454B93" w:rsidRDefault="00104BA2" w:rsidP="00454B93">
      <w:pPr>
        <w:pStyle w:val="Heading1"/>
        <w:numPr>
          <w:ilvl w:val="0"/>
          <w:numId w:val="6"/>
        </w:numPr>
        <w:rPr>
          <w:b w:val="0"/>
        </w:rPr>
      </w:pPr>
      <w:r w:rsidRPr="00454B93">
        <w:rPr>
          <w:b w:val="0"/>
        </w:rPr>
        <w:t xml:space="preserve">revised </w:t>
      </w:r>
      <w:r w:rsidRPr="00454B93">
        <w:rPr>
          <w:b w:val="0"/>
          <w:i/>
        </w:rPr>
        <w:t xml:space="preserve">Guidelines on advertising regulated health services, </w:t>
      </w:r>
      <w:r w:rsidRPr="00454B93">
        <w:rPr>
          <w:b w:val="0"/>
        </w:rPr>
        <w:t>and</w:t>
      </w:r>
    </w:p>
    <w:p w:rsidR="00104BA2" w:rsidRPr="00454B93" w:rsidRDefault="00104BA2" w:rsidP="00454B93">
      <w:pPr>
        <w:pStyle w:val="Heading1"/>
        <w:numPr>
          <w:ilvl w:val="0"/>
          <w:numId w:val="6"/>
        </w:numPr>
        <w:rPr>
          <w:b w:val="0"/>
        </w:rPr>
      </w:pPr>
      <w:r w:rsidRPr="00454B93">
        <w:rPr>
          <w:b w:val="0"/>
        </w:rPr>
        <w:t xml:space="preserve">a proposed </w:t>
      </w:r>
      <w:r w:rsidRPr="00454B93">
        <w:rPr>
          <w:b w:val="0"/>
          <w:i/>
        </w:rPr>
        <w:t>Supervised practice framework</w:t>
      </w:r>
      <w:r w:rsidR="00850461">
        <w:rPr>
          <w:b w:val="0"/>
        </w:rPr>
        <w:t>.</w:t>
      </w:r>
    </w:p>
    <w:p w:rsidR="00104BA2" w:rsidRDefault="00104BA2" w:rsidP="00454B93">
      <w:pPr>
        <w:pStyle w:val="Heading1"/>
        <w:ind w:left="0"/>
        <w:rPr>
          <w:b w:val="0"/>
        </w:rPr>
      </w:pPr>
    </w:p>
    <w:p w:rsidR="00104BA2" w:rsidRDefault="00104BA2" w:rsidP="00454B93">
      <w:pPr>
        <w:pStyle w:val="Heading1"/>
        <w:ind w:left="0"/>
        <w:rPr>
          <w:b w:val="0"/>
        </w:rPr>
      </w:pPr>
      <w:r>
        <w:rPr>
          <w:b w:val="0"/>
        </w:rPr>
        <w:t>The Board invites optometrists and its stakeholders to provide feedback to these important public consultations. To ensure everyone has the chance to respond the closing dates for public consultation have been staggered as follows:</w:t>
      </w:r>
    </w:p>
    <w:p w:rsidR="00104BA2" w:rsidRDefault="00104BA2" w:rsidP="00454B93">
      <w:pPr>
        <w:pStyle w:val="Heading1"/>
        <w:ind w:left="0"/>
        <w:rPr>
          <w:b w:val="0"/>
        </w:rPr>
      </w:pPr>
    </w:p>
    <w:p w:rsidR="00104BA2" w:rsidRDefault="00104BA2" w:rsidP="00454B93">
      <w:pPr>
        <w:pStyle w:val="Heading1"/>
        <w:numPr>
          <w:ilvl w:val="0"/>
          <w:numId w:val="11"/>
        </w:numPr>
        <w:rPr>
          <w:b w:val="0"/>
        </w:rPr>
      </w:pPr>
      <w:r>
        <w:rPr>
          <w:b w:val="0"/>
        </w:rPr>
        <w:t xml:space="preserve">Public consultation on the mandatory </w:t>
      </w:r>
      <w:proofErr w:type="gramStart"/>
      <w:r>
        <w:rPr>
          <w:b w:val="0"/>
        </w:rPr>
        <w:t>notifications</w:t>
      </w:r>
      <w:proofErr w:type="gramEnd"/>
      <w:r>
        <w:rPr>
          <w:b w:val="0"/>
        </w:rPr>
        <w:t xml:space="preserve"> guidelines will close on 6 November 2019.</w:t>
      </w:r>
    </w:p>
    <w:p w:rsidR="00104BA2" w:rsidRDefault="00104BA2" w:rsidP="00454B93">
      <w:pPr>
        <w:pStyle w:val="Heading1"/>
        <w:numPr>
          <w:ilvl w:val="0"/>
          <w:numId w:val="11"/>
        </w:numPr>
        <w:rPr>
          <w:b w:val="0"/>
        </w:rPr>
      </w:pPr>
      <w:r>
        <w:rPr>
          <w:b w:val="0"/>
        </w:rPr>
        <w:t>Public consultation on the advertising guidelines will close on 26 November 2019.</w:t>
      </w:r>
    </w:p>
    <w:p w:rsidR="00104BA2" w:rsidRDefault="00104BA2" w:rsidP="00454B93">
      <w:pPr>
        <w:pStyle w:val="Heading1"/>
        <w:numPr>
          <w:ilvl w:val="0"/>
          <w:numId w:val="11"/>
        </w:numPr>
        <w:rPr>
          <w:b w:val="0"/>
        </w:rPr>
      </w:pPr>
      <w:r>
        <w:rPr>
          <w:b w:val="0"/>
        </w:rPr>
        <w:t>Public consultation on the supervised practice framework will close on 17 December 2019.</w:t>
      </w:r>
    </w:p>
    <w:p w:rsidR="00104BA2" w:rsidRDefault="00104BA2" w:rsidP="00454B93">
      <w:pPr>
        <w:pStyle w:val="Heading1"/>
        <w:ind w:left="0"/>
        <w:rPr>
          <w:b w:val="0"/>
        </w:rPr>
      </w:pPr>
    </w:p>
    <w:p w:rsidR="00104BA2" w:rsidRPr="00104BA2" w:rsidRDefault="00104BA2" w:rsidP="00454B93">
      <w:pPr>
        <w:pStyle w:val="Heading1"/>
        <w:ind w:left="0"/>
        <w:rPr>
          <w:b w:val="0"/>
        </w:rPr>
      </w:pPr>
      <w:r>
        <w:rPr>
          <w:b w:val="0"/>
        </w:rPr>
        <w:t xml:space="preserve">The consultation papers are available on the </w:t>
      </w:r>
      <w:r w:rsidRPr="00F83830">
        <w:rPr>
          <w:b w:val="0"/>
        </w:rPr>
        <w:t xml:space="preserve">on the Board’s </w:t>
      </w:r>
      <w:hyperlink r:id="rId10" w:history="1">
        <w:r w:rsidRPr="00F83830">
          <w:rPr>
            <w:rStyle w:val="Hyperlink"/>
            <w:b w:val="0"/>
          </w:rPr>
          <w:t>consultations</w:t>
        </w:r>
      </w:hyperlink>
      <w:r w:rsidRPr="00F83830">
        <w:rPr>
          <w:b w:val="0"/>
        </w:rPr>
        <w:t xml:space="preserve"> web page.</w:t>
      </w:r>
    </w:p>
    <w:p w:rsidR="00BE70F2" w:rsidRDefault="00BE70F2" w:rsidP="00454B93">
      <w:pPr>
        <w:rPr>
          <w:rFonts w:ascii="Arial" w:eastAsia="Arial" w:hAnsi="Arial" w:cs="Arial"/>
          <w:sz w:val="17"/>
          <w:szCs w:val="17"/>
        </w:rPr>
      </w:pPr>
    </w:p>
    <w:p w:rsidR="0029021A" w:rsidRPr="0057448F" w:rsidRDefault="0029021A" w:rsidP="00454B93">
      <w:pPr>
        <w:pStyle w:val="BodyText"/>
        <w:ind w:left="0"/>
      </w:pPr>
      <w:r>
        <w:lastRenderedPageBreak/>
        <w:t>.</w:t>
      </w:r>
    </w:p>
    <w:p w:rsidR="00BE70F2" w:rsidRDefault="00BE70F2" w:rsidP="00454B93">
      <w:pPr>
        <w:rPr>
          <w:rFonts w:ascii="Arial" w:eastAsia="Arial" w:hAnsi="Arial" w:cs="Arial"/>
          <w:sz w:val="17"/>
          <w:szCs w:val="17"/>
        </w:rPr>
      </w:pPr>
    </w:p>
    <w:p w:rsidR="0029021A" w:rsidRDefault="0029021A" w:rsidP="00454B93">
      <w:pPr>
        <w:rPr>
          <w:rFonts w:ascii="Arial" w:eastAsia="Arial" w:hAnsi="Arial" w:cs="Arial"/>
          <w:sz w:val="17"/>
          <w:szCs w:val="17"/>
        </w:rPr>
      </w:pPr>
    </w:p>
    <w:p w:rsidR="00BE70F2" w:rsidRDefault="00BE70F2" w:rsidP="00454B93">
      <w:pPr>
        <w:rPr>
          <w:rFonts w:ascii="Arial" w:eastAsia="Arial" w:hAnsi="Arial" w:cs="Arial"/>
          <w:sz w:val="17"/>
          <w:szCs w:val="17"/>
        </w:rPr>
      </w:pPr>
    </w:p>
    <w:p w:rsidR="00BE70F2" w:rsidRDefault="00454B93" w:rsidP="00454B93">
      <w:pPr>
        <w:rPr>
          <w:rFonts w:ascii="Arial" w:eastAsia="Arial" w:hAnsi="Arial" w:cs="Arial"/>
          <w:b/>
          <w:bCs/>
          <w:sz w:val="17"/>
          <w:szCs w:val="17"/>
        </w:rPr>
      </w:pPr>
      <w:r>
        <w:rPr>
          <w:rFonts w:ascii="Arial" w:eastAsia="Arial" w:hAnsi="Arial"/>
          <w:b/>
          <w:bCs/>
          <w:color w:val="007CC3"/>
          <w:sz w:val="20"/>
          <w:szCs w:val="20"/>
        </w:rPr>
        <w:t>Ab</w:t>
      </w:r>
      <w:r w:rsidR="00E116AA" w:rsidRPr="00E116AA">
        <w:rPr>
          <w:rFonts w:ascii="Arial" w:eastAsia="Arial" w:hAnsi="Arial"/>
          <w:b/>
          <w:bCs/>
          <w:color w:val="007CC3"/>
          <w:sz w:val="20"/>
          <w:szCs w:val="20"/>
        </w:rPr>
        <w:t>original and Torres Strait Islander</w:t>
      </w:r>
      <w:r w:rsidR="007B1B2E">
        <w:rPr>
          <w:rFonts w:ascii="Arial" w:eastAsia="Arial" w:hAnsi="Arial"/>
          <w:b/>
          <w:bCs/>
          <w:color w:val="007CC3"/>
          <w:sz w:val="20"/>
          <w:szCs w:val="20"/>
        </w:rPr>
        <w:t xml:space="preserve"> strategy initiatives working group</w:t>
      </w:r>
    </w:p>
    <w:p w:rsidR="00441F7F" w:rsidRDefault="00441F7F" w:rsidP="00454B93">
      <w:pPr>
        <w:pStyle w:val="BodyText"/>
        <w:ind w:left="0"/>
      </w:pPr>
    </w:p>
    <w:p w:rsidR="00BE70F2" w:rsidRDefault="00FF3316" w:rsidP="00454B93">
      <w:pPr>
        <w:pStyle w:val="BodyText"/>
        <w:ind w:left="0"/>
      </w:pPr>
      <w:r>
        <w:t xml:space="preserve">The Board </w:t>
      </w:r>
      <w:r w:rsidR="00441F7F">
        <w:t xml:space="preserve">established an </w:t>
      </w:r>
      <w:r w:rsidR="00DA3000" w:rsidRPr="00DA3000">
        <w:t xml:space="preserve">Aboriginal and Torres Strait Islander </w:t>
      </w:r>
      <w:r w:rsidR="007B1B2E">
        <w:t>strategy initiatives working group</w:t>
      </w:r>
      <w:r w:rsidR="00DA3000">
        <w:t xml:space="preserve"> to consider initiatives that it can undertake that are consistent with the objectives</w:t>
      </w:r>
      <w:r w:rsidR="00DE0AB8">
        <w:t xml:space="preserve"> of the</w:t>
      </w:r>
      <w:r w:rsidR="00DA3000">
        <w:t xml:space="preserve"> </w:t>
      </w:r>
      <w:r w:rsidR="00DA3000" w:rsidRPr="00DA3000">
        <w:t>National Scheme Aboriginal and Torres Strait Islander Health and Cultural Safety Strategy 2020-25</w:t>
      </w:r>
      <w:r w:rsidR="00DA3000">
        <w:t>. Board members will participate in cultural safety training</w:t>
      </w:r>
      <w:r w:rsidR="00135AB7">
        <w:t>,</w:t>
      </w:r>
      <w:r w:rsidR="00DE0AB8">
        <w:t xml:space="preserve"> with</w:t>
      </w:r>
      <w:r w:rsidR="00135AB7">
        <w:t xml:space="preserve"> the Board sen</w:t>
      </w:r>
      <w:r w:rsidR="00DE0AB8">
        <w:t>ding</w:t>
      </w:r>
      <w:r w:rsidR="00135AB7">
        <w:t xml:space="preserve"> a representative t</w:t>
      </w:r>
      <w:r w:rsidR="0087111E">
        <w:t xml:space="preserve">o the </w:t>
      </w:r>
      <w:r w:rsidR="0087111E">
        <w:rPr>
          <w:rFonts w:eastAsia="Times New Roman"/>
          <w:lang w:eastAsia="en-AU"/>
        </w:rPr>
        <w:t>Indigenous Allied Health Australia</w:t>
      </w:r>
      <w:r w:rsidR="0087111E">
        <w:t xml:space="preserve"> Conference in Darwin in September 2019</w:t>
      </w:r>
      <w:r w:rsidR="00DE0AB8">
        <w:t>. It also</w:t>
      </w:r>
      <w:r w:rsidR="0087111E">
        <w:t xml:space="preserve"> </w:t>
      </w:r>
      <w:r w:rsidR="00DA3000">
        <w:t>hope</w:t>
      </w:r>
      <w:r w:rsidR="0087111E">
        <w:t>s</w:t>
      </w:r>
      <w:r w:rsidR="00DA3000">
        <w:t xml:space="preserve"> to engage </w:t>
      </w:r>
      <w:r w:rsidR="00135AB7">
        <w:t>with Allied Health</w:t>
      </w:r>
      <w:r w:rsidR="0087111E">
        <w:t xml:space="preserve"> Australia.</w:t>
      </w:r>
    </w:p>
    <w:p w:rsidR="00BE70F2" w:rsidRDefault="00BE70F2" w:rsidP="00454B93">
      <w:pPr>
        <w:rPr>
          <w:rFonts w:ascii="Arial" w:eastAsia="Arial" w:hAnsi="Arial" w:cs="Arial"/>
          <w:sz w:val="17"/>
          <w:szCs w:val="17"/>
        </w:rPr>
      </w:pPr>
    </w:p>
    <w:p w:rsidR="00BE70F2" w:rsidRDefault="00E81D73" w:rsidP="00454B93">
      <w:pPr>
        <w:pStyle w:val="Heading1"/>
        <w:ind w:left="0"/>
        <w:rPr>
          <w:b w:val="0"/>
          <w:bCs w:val="0"/>
        </w:rPr>
      </w:pPr>
      <w:r w:rsidRPr="00E81D73">
        <w:rPr>
          <w:color w:val="007CC3"/>
        </w:rPr>
        <w:t>Continuing professional development</w:t>
      </w:r>
      <w:r w:rsidR="004A6408">
        <w:rPr>
          <w:color w:val="007CC3"/>
        </w:rPr>
        <w:t xml:space="preserve"> </w:t>
      </w:r>
      <w:r w:rsidR="00E1214A">
        <w:rPr>
          <w:color w:val="007CC3"/>
        </w:rPr>
        <w:t>guidelines</w:t>
      </w:r>
    </w:p>
    <w:p w:rsidR="00BE70F2" w:rsidRDefault="00BE70F2" w:rsidP="00454B93">
      <w:pPr>
        <w:rPr>
          <w:rFonts w:ascii="Arial" w:eastAsia="Arial" w:hAnsi="Arial" w:cs="Arial"/>
          <w:b/>
          <w:bCs/>
          <w:sz w:val="17"/>
          <w:szCs w:val="17"/>
        </w:rPr>
      </w:pPr>
    </w:p>
    <w:p w:rsidR="00BE70F2" w:rsidRDefault="00E1214A" w:rsidP="00454B93">
      <w:pPr>
        <w:pStyle w:val="BodyText"/>
        <w:ind w:left="0"/>
      </w:pPr>
      <w:r>
        <w:t xml:space="preserve">The Board will be publishing </w:t>
      </w:r>
      <w:r w:rsidR="00E81D73">
        <w:t xml:space="preserve">slight amendments to </w:t>
      </w:r>
      <w:r>
        <w:t xml:space="preserve">its </w:t>
      </w:r>
      <w:r w:rsidR="00E81D73" w:rsidRPr="009850C5">
        <w:rPr>
          <w:rFonts w:eastAsia="Cambria" w:cs="Arial"/>
          <w:i/>
        </w:rPr>
        <w:t xml:space="preserve">Continuing professional development </w:t>
      </w:r>
      <w:r w:rsidR="00E81D73" w:rsidRPr="00E81D73">
        <w:rPr>
          <w:rFonts w:eastAsia="Cambria" w:cs="Arial"/>
        </w:rPr>
        <w:t>(</w:t>
      </w:r>
      <w:r>
        <w:t>CPD</w:t>
      </w:r>
      <w:r w:rsidR="00E81D73">
        <w:t>)</w:t>
      </w:r>
      <w:r>
        <w:t xml:space="preserve"> g</w:t>
      </w:r>
      <w:r w:rsidR="00E81D73">
        <w:t xml:space="preserve">uidelines to the revised </w:t>
      </w:r>
      <w:r w:rsidR="00E81D73" w:rsidRPr="00F83830">
        <w:rPr>
          <w:i/>
        </w:rPr>
        <w:t xml:space="preserve">Registration </w:t>
      </w:r>
      <w:r w:rsidR="00DE0AB8">
        <w:rPr>
          <w:i/>
        </w:rPr>
        <w:t>s</w:t>
      </w:r>
      <w:r w:rsidR="00E81D73" w:rsidRPr="00F83830">
        <w:rPr>
          <w:i/>
        </w:rPr>
        <w:t>tandard for CPD</w:t>
      </w:r>
      <w:r w:rsidR="00E81D73">
        <w:t xml:space="preserve">. The amendments </w:t>
      </w:r>
      <w:r w:rsidR="00DE0AB8">
        <w:t>provide detailed clarification about</w:t>
      </w:r>
      <w:r w:rsidR="00E81D73">
        <w:t xml:space="preserve"> exemptions from the CPD requirements that the Board may consider in exceptional circumstances. </w:t>
      </w:r>
    </w:p>
    <w:p w:rsidR="0023510C" w:rsidRPr="00F83830" w:rsidRDefault="0023510C" w:rsidP="00454B93">
      <w:pPr>
        <w:pStyle w:val="AHPRASubheadinglevel3"/>
        <w:rPr>
          <w:b/>
        </w:rPr>
      </w:pPr>
      <w:r w:rsidRPr="00F83830">
        <w:rPr>
          <w:b/>
        </w:rPr>
        <w:t xml:space="preserve">New practitioner experience video launched </w:t>
      </w:r>
    </w:p>
    <w:p w:rsidR="0023510C" w:rsidRPr="0023510C" w:rsidRDefault="0023510C" w:rsidP="00454B93">
      <w:pPr>
        <w:pStyle w:val="AHPRASubheadinglevel3"/>
        <w:rPr>
          <w:i/>
          <w:iCs/>
          <w:color w:val="auto"/>
          <w:lang w:val="en"/>
        </w:rPr>
      </w:pPr>
      <w:r w:rsidRPr="0023510C">
        <w:rPr>
          <w:color w:val="000000"/>
        </w:rPr>
        <w:t xml:space="preserve">Keep perspective; and seek help. That’s the message in the </w:t>
      </w:r>
      <w:r w:rsidRPr="0023510C">
        <w:rPr>
          <w:color w:val="auto"/>
          <w:lang w:val="en"/>
        </w:rPr>
        <w:t xml:space="preserve">the </w:t>
      </w:r>
      <w:hyperlink r:id="rId11" w:tgtFrame="_blank" w:history="1">
        <w:r w:rsidRPr="00454B93">
          <w:rPr>
            <w:rStyle w:val="Hyperlink"/>
            <w:color w:val="0000FF"/>
            <w:lang w:val="en"/>
          </w:rPr>
          <w:t>latest video</w:t>
        </w:r>
      </w:hyperlink>
      <w:r w:rsidRPr="0023510C">
        <w:rPr>
          <w:color w:val="auto"/>
        </w:rPr>
        <w:t xml:space="preserve"> </w:t>
      </w:r>
      <w:r w:rsidRPr="0023510C">
        <w:rPr>
          <w:color w:val="auto"/>
          <w:lang w:val="en"/>
        </w:rPr>
        <w:t xml:space="preserve">released by AHPRA and National Boards as part of the </w:t>
      </w:r>
      <w:hyperlink r:id="rId12" w:tgtFrame="_blank" w:history="1">
        <w:r w:rsidRPr="00454B93">
          <w:rPr>
            <w:rStyle w:val="Hyperlink"/>
            <w:color w:val="0000FF"/>
            <w:lang w:val="en"/>
          </w:rPr>
          <w:t>‘Let’s talk about it’</w:t>
        </w:r>
      </w:hyperlink>
      <w:r w:rsidRPr="0023510C">
        <w:rPr>
          <w:color w:val="auto"/>
          <w:lang w:val="en"/>
        </w:rPr>
        <w:t xml:space="preserve"> series – </w:t>
      </w:r>
      <w:r w:rsidRPr="0023510C">
        <w:rPr>
          <w:i/>
          <w:iCs/>
          <w:color w:val="auto"/>
          <w:lang w:val="en"/>
        </w:rPr>
        <w:t xml:space="preserve">Putting it in perspective: A practitioner’s notifications experience. </w:t>
      </w:r>
    </w:p>
    <w:p w:rsidR="0023510C" w:rsidRPr="0023510C" w:rsidRDefault="0023510C" w:rsidP="00454B93">
      <w:pPr>
        <w:pStyle w:val="AHPRASubheadinglevel3"/>
        <w:rPr>
          <w:color w:val="auto"/>
          <w:lang w:val="en"/>
        </w:rPr>
      </w:pPr>
      <w:r w:rsidRPr="0023510C">
        <w:rPr>
          <w:color w:val="auto"/>
          <w:lang w:val="en"/>
        </w:rPr>
        <w:t>The video is the second practitioner experience video published this year by AHPRA and National Boards and provides a health practitioner’s first-hand account of the notification process.</w:t>
      </w:r>
    </w:p>
    <w:p w:rsidR="0023510C" w:rsidRPr="00F83830" w:rsidRDefault="0023510C" w:rsidP="00454B93">
      <w:pPr>
        <w:pStyle w:val="AHPRAbody"/>
        <w:rPr>
          <w:szCs w:val="20"/>
        </w:rPr>
      </w:pPr>
      <w:r w:rsidRPr="00F83830">
        <w:rPr>
          <w:szCs w:val="20"/>
        </w:rPr>
        <w:t>AHPRA CEO Mr Martin Fletcher said the video series aims to share practitioners’ experiences, recognising what are common reactions, while proactively encouraging them to focus on likely outcomes and seek support.</w:t>
      </w:r>
    </w:p>
    <w:p w:rsidR="0023510C" w:rsidRPr="00F83830" w:rsidRDefault="0023510C" w:rsidP="00454B93">
      <w:pPr>
        <w:pStyle w:val="AHPRAbody"/>
        <w:rPr>
          <w:szCs w:val="20"/>
        </w:rPr>
      </w:pPr>
      <w:r w:rsidRPr="00F83830">
        <w:rPr>
          <w:szCs w:val="20"/>
        </w:rPr>
        <w:t>‘Many practitioners have told us that they would have benefited greatly from hearing the voice of others who had gone through this experience — and come out the other side. They have also told us that when they are the subject of a notification, they immediately think they will lose their registration and their livelihood – that it’s a catastrophe.’</w:t>
      </w:r>
    </w:p>
    <w:p w:rsidR="0023510C" w:rsidRPr="00F83830" w:rsidRDefault="0023510C" w:rsidP="00454B93">
      <w:pPr>
        <w:pStyle w:val="AHPRAbody"/>
        <w:rPr>
          <w:szCs w:val="20"/>
        </w:rPr>
      </w:pPr>
      <w:r w:rsidRPr="00F83830">
        <w:rPr>
          <w:szCs w:val="20"/>
        </w:rPr>
        <w:t>‘We understand that people may feel this way. However, our data show a different story. While we have a clear focus on patient safety, many notifications end without the need for regulatory action and are often closed following initial assessment, without the need for an extended investigation.’ Mr Fletcher said.</w:t>
      </w:r>
    </w:p>
    <w:p w:rsidR="0023510C" w:rsidRPr="00F83830" w:rsidRDefault="0023510C" w:rsidP="00454B93">
      <w:pPr>
        <w:pStyle w:val="AHPRAbody"/>
        <w:rPr>
          <w:szCs w:val="20"/>
        </w:rPr>
      </w:pPr>
      <w:r w:rsidRPr="00F83830">
        <w:rPr>
          <w:szCs w:val="20"/>
        </w:rPr>
        <w:t>In the video, a surgeon describes his feelings of guilt and anxiety after a poor patient outcome and the notification that followed. As time went on, his worries increased, and he found it difficult to maintain a realistic perspective about what was likely to occur. He reflects on the value of speaking with family and friends, as well as the ongoing support of his GP and a psychologist.</w:t>
      </w:r>
    </w:p>
    <w:p w:rsidR="00454B93" w:rsidRPr="00454B93" w:rsidRDefault="0023510C" w:rsidP="00454B93">
      <w:pPr>
        <w:pStyle w:val="AHPRASubheading"/>
        <w:rPr>
          <w:rFonts w:ascii="Arial" w:eastAsia="Cambria" w:hAnsi="Arial" w:cs="Arial"/>
          <w:color w:val="auto"/>
          <w:sz w:val="20"/>
          <w:szCs w:val="20"/>
          <w:lang w:val="en-AU"/>
        </w:rPr>
      </w:pPr>
      <w:r w:rsidRPr="00454B93">
        <w:rPr>
          <w:rFonts w:ascii="Arial" w:eastAsia="Cambria" w:hAnsi="Arial" w:cs="Arial"/>
          <w:b w:val="0"/>
          <w:color w:val="auto"/>
          <w:sz w:val="20"/>
          <w:szCs w:val="20"/>
          <w:lang w:val="en-AU"/>
        </w:rPr>
        <w:t>Read the full</w:t>
      </w:r>
      <w:r w:rsidRPr="00454B93">
        <w:rPr>
          <w:rFonts w:ascii="Arial" w:eastAsia="Cambria" w:hAnsi="Arial" w:cs="Arial"/>
          <w:color w:val="auto"/>
          <w:sz w:val="20"/>
          <w:szCs w:val="20"/>
          <w:lang w:val="en-AU"/>
        </w:rPr>
        <w:t xml:space="preserve"> </w:t>
      </w:r>
      <w:hyperlink r:id="rId13" w:history="1">
        <w:r w:rsidRPr="00454B93">
          <w:rPr>
            <w:rStyle w:val="Hyperlink"/>
            <w:rFonts w:ascii="Arial" w:eastAsia="Cambria" w:hAnsi="Arial" w:cs="Arial"/>
            <w:b w:val="0"/>
            <w:sz w:val="20"/>
            <w:szCs w:val="20"/>
            <w:lang w:val="en-AU"/>
          </w:rPr>
          <w:t>media release</w:t>
        </w:r>
      </w:hyperlink>
      <w:r w:rsidR="00454B93">
        <w:rPr>
          <w:rFonts w:ascii="Arial" w:eastAsia="Cambria" w:hAnsi="Arial" w:cs="Arial"/>
          <w:b w:val="0"/>
          <w:color w:val="auto"/>
          <w:sz w:val="20"/>
          <w:szCs w:val="20"/>
          <w:lang w:val="en-AU"/>
        </w:rPr>
        <w:t>.</w:t>
      </w:r>
    </w:p>
    <w:p w:rsidR="0023510C" w:rsidRPr="00F83830" w:rsidRDefault="0023510C" w:rsidP="00454B93">
      <w:pPr>
        <w:pStyle w:val="AHPRASubheading"/>
        <w:rPr>
          <w:rFonts w:ascii="Arial" w:hAnsi="Arial" w:cs="Arial"/>
          <w:sz w:val="20"/>
          <w:szCs w:val="20"/>
        </w:rPr>
      </w:pPr>
      <w:r w:rsidRPr="00F83830">
        <w:rPr>
          <w:rFonts w:ascii="Arial" w:hAnsi="Arial" w:cs="Arial"/>
          <w:sz w:val="20"/>
          <w:szCs w:val="20"/>
        </w:rPr>
        <w:t>Cultural safety training provider announced</w:t>
      </w:r>
    </w:p>
    <w:p w:rsidR="0023510C" w:rsidRPr="00F83830" w:rsidRDefault="0023510C" w:rsidP="00454B93">
      <w:pPr>
        <w:pStyle w:val="AHPRAbody"/>
        <w:rPr>
          <w:szCs w:val="20"/>
        </w:rPr>
      </w:pPr>
      <w:r w:rsidRPr="0023510C">
        <w:rPr>
          <w:szCs w:val="20"/>
        </w:rPr>
        <w:t xml:space="preserve">PricewaterhouseCoopers Indigenous Consulting Pty Limited (PIC) in partnership with Griffith University First Peoples Health Unit will deliver cultural safety training to Board and committee members as well as Australian Health Regulation Agency (AHPRA) staff. This appointment is the outcome of a competitive tender process. Cultural safety training is an important first step to ensure that AHPRA and the Boards are working to help health practitioners nationally understand their own connection to culture and unconscious biases, and how these are likely to influence their work. </w:t>
      </w:r>
    </w:p>
    <w:p w:rsidR="0023510C" w:rsidRPr="0023510C" w:rsidRDefault="0023510C" w:rsidP="00454B93">
      <w:pPr>
        <w:pStyle w:val="AHPRAbody"/>
        <w:rPr>
          <w:szCs w:val="20"/>
        </w:rPr>
      </w:pPr>
      <w:r w:rsidRPr="0023510C">
        <w:rPr>
          <w:szCs w:val="20"/>
        </w:rPr>
        <w:t>AHPRA CEO Mr Martin Fletcher said the training is an important milestone and is part of the agency’s commitment to support health equity for all Australians, which was publicly made by AHPRA and 36 other signatories in the National Scheme’s </w:t>
      </w:r>
      <w:hyperlink r:id="rId14" w:history="1">
        <w:r w:rsidRPr="0023510C">
          <w:rPr>
            <w:rStyle w:val="Hyperlink"/>
            <w:szCs w:val="20"/>
          </w:rPr>
          <w:t>Statement of intent</w:t>
        </w:r>
      </w:hyperlink>
      <w:r w:rsidRPr="0023510C">
        <w:rPr>
          <w:szCs w:val="20"/>
        </w:rPr>
        <w:t xml:space="preserve"> last year. </w:t>
      </w:r>
    </w:p>
    <w:p w:rsidR="0023510C" w:rsidRPr="0023510C" w:rsidRDefault="0023510C" w:rsidP="00454B93">
      <w:pPr>
        <w:pStyle w:val="AHPRAbody"/>
        <w:rPr>
          <w:szCs w:val="20"/>
        </w:rPr>
      </w:pPr>
      <w:r w:rsidRPr="0023510C">
        <w:rPr>
          <w:szCs w:val="20"/>
        </w:rPr>
        <w:t xml:space="preserve">‘One of our strategic priorities is helping to embed cultural safety into the health system through our work with over 740,000 registered health practitioners across Australia. </w:t>
      </w:r>
    </w:p>
    <w:p w:rsidR="0023510C" w:rsidRPr="00F83830" w:rsidRDefault="0023510C" w:rsidP="00454B93">
      <w:pPr>
        <w:pStyle w:val="AHPRAbody"/>
        <w:rPr>
          <w:szCs w:val="20"/>
        </w:rPr>
      </w:pPr>
      <w:r w:rsidRPr="00F83830">
        <w:rPr>
          <w:szCs w:val="20"/>
        </w:rPr>
        <w:lastRenderedPageBreak/>
        <w:t xml:space="preserve">‘We want to be a regulator who deeply understands cultural safety and what it means for our work and we want to partner with others to build a culturally safe registered health practitioner workforce across Australia,’ Mr Fletcher said. </w:t>
      </w:r>
    </w:p>
    <w:p w:rsidR="0023510C" w:rsidRPr="00F83830" w:rsidRDefault="0023510C" w:rsidP="00454B93">
      <w:pPr>
        <w:pStyle w:val="AHPRAbody"/>
        <w:rPr>
          <w:szCs w:val="20"/>
        </w:rPr>
      </w:pPr>
      <w:r w:rsidRPr="00F83830">
        <w:rPr>
          <w:szCs w:val="20"/>
        </w:rPr>
        <w:t xml:space="preserve">National Scheme Aboriginal and Torres Strait Islander Health Strategy Group member and Aboriginal and Torres Strait Islander Health Practice Board of Australia Chair, Ms Renee Owen, said everyone has a part to play to achieve health equity. </w:t>
      </w:r>
    </w:p>
    <w:p w:rsidR="0023510C" w:rsidRPr="00F83830" w:rsidRDefault="0023510C" w:rsidP="00454B93">
      <w:pPr>
        <w:pStyle w:val="AHPRAbody"/>
        <w:rPr>
          <w:szCs w:val="20"/>
        </w:rPr>
      </w:pPr>
      <w:r w:rsidRPr="00F83830">
        <w:rPr>
          <w:szCs w:val="20"/>
        </w:rPr>
        <w:t xml:space="preserve">‘We all have a responsibility to understand cultural safety so that we can work to eliminate racism from the health system and enable health equity for Aboriginal and Torres Strait Islander Peoples. This training is an important step towards ensuring that the regulation of health practitioners is culturally safe’, Ms Owen said. </w:t>
      </w:r>
    </w:p>
    <w:p w:rsidR="0023510C" w:rsidRPr="0023510C" w:rsidRDefault="0023510C" w:rsidP="00454B93">
      <w:pPr>
        <w:pStyle w:val="AHPRAbody"/>
        <w:rPr>
          <w:szCs w:val="20"/>
        </w:rPr>
      </w:pPr>
      <w:r w:rsidRPr="00F83830">
        <w:rPr>
          <w:szCs w:val="20"/>
        </w:rPr>
        <w:t>This unique Aboriginal-led collaboration between PwC's Indigenous Consulting, Griffith University's First Peoples Health Unit and the </w:t>
      </w:r>
      <w:hyperlink r:id="rId15" w:history="1">
        <w:r w:rsidRPr="0023510C">
          <w:rPr>
            <w:rStyle w:val="Hyperlink"/>
            <w:szCs w:val="20"/>
          </w:rPr>
          <w:t>National Scheme Aboriginal and Torres Strait Islander Strategy Group</w:t>
        </w:r>
      </w:hyperlink>
      <w:r w:rsidRPr="0023510C">
        <w:rPr>
          <w:szCs w:val="20"/>
        </w:rPr>
        <w:t xml:space="preserve"> will provide a world class, bespoke cultural safety training program supporting the necessary culture transformation of Australia's health professions. </w:t>
      </w:r>
    </w:p>
    <w:p w:rsidR="0023510C" w:rsidRPr="00F83830" w:rsidRDefault="0023510C" w:rsidP="00454B93">
      <w:pPr>
        <w:pStyle w:val="AHPRAbody"/>
        <w:rPr>
          <w:szCs w:val="20"/>
        </w:rPr>
      </w:pPr>
      <w:r w:rsidRPr="0023510C">
        <w:rPr>
          <w:szCs w:val="20"/>
        </w:rPr>
        <w:t>The training</w:t>
      </w:r>
      <w:r w:rsidR="000F209A">
        <w:rPr>
          <w:szCs w:val="20"/>
        </w:rPr>
        <w:t>,</w:t>
      </w:r>
      <w:r w:rsidRPr="0023510C">
        <w:rPr>
          <w:szCs w:val="20"/>
        </w:rPr>
        <w:t xml:space="preserve"> to be provided by PIC in partnership with Griffith University First Peoples Health Unit</w:t>
      </w:r>
      <w:r w:rsidR="000F209A">
        <w:rPr>
          <w:szCs w:val="20"/>
        </w:rPr>
        <w:t>,</w:t>
      </w:r>
      <w:r w:rsidRPr="0023510C">
        <w:rPr>
          <w:szCs w:val="20"/>
        </w:rPr>
        <w:t xml:space="preserve"> will be rolled out from the end of 2019. </w:t>
      </w:r>
    </w:p>
    <w:p w:rsidR="0023510C" w:rsidRPr="00F83830" w:rsidRDefault="0023510C" w:rsidP="00454B93">
      <w:pPr>
        <w:pStyle w:val="AHPRASubheading"/>
        <w:rPr>
          <w:rFonts w:ascii="Arial" w:hAnsi="Arial" w:cs="Arial"/>
          <w:sz w:val="20"/>
          <w:szCs w:val="20"/>
        </w:rPr>
      </w:pPr>
      <w:r w:rsidRPr="00F83830">
        <w:rPr>
          <w:rFonts w:ascii="Arial" w:hAnsi="Arial" w:cs="Arial"/>
          <w:sz w:val="20"/>
          <w:szCs w:val="20"/>
        </w:rPr>
        <w:t>Advertising your regulated health service</w:t>
      </w:r>
    </w:p>
    <w:p w:rsidR="0023510C" w:rsidRPr="0023510C" w:rsidRDefault="0023510C" w:rsidP="00454B93">
      <w:pPr>
        <w:pStyle w:val="AHPRAbody"/>
        <w:rPr>
          <w:szCs w:val="20"/>
        </w:rPr>
      </w:pPr>
      <w:r w:rsidRPr="0023510C">
        <w:rPr>
          <w:szCs w:val="20"/>
        </w:rPr>
        <w:t xml:space="preserve">To protect consumers, the National Law includes provisions about advertising regulated health services. The Board has recently included a </w:t>
      </w:r>
      <w:hyperlink r:id="rId16" w:history="1">
        <w:r w:rsidRPr="0023510C">
          <w:rPr>
            <w:rStyle w:val="Hyperlink"/>
            <w:szCs w:val="20"/>
          </w:rPr>
          <w:t>list of resources on the Board website</w:t>
        </w:r>
      </w:hyperlink>
      <w:r w:rsidRPr="0023510C">
        <w:rPr>
          <w:szCs w:val="20"/>
        </w:rPr>
        <w:t xml:space="preserve"> that you might find helpful for understanding and meeting your advertising obligations. </w:t>
      </w:r>
    </w:p>
    <w:p w:rsidR="0023510C" w:rsidRPr="00F83830" w:rsidRDefault="0023510C" w:rsidP="00454B93">
      <w:pPr>
        <w:pStyle w:val="AHPRAbody"/>
        <w:rPr>
          <w:szCs w:val="20"/>
        </w:rPr>
      </w:pPr>
      <w:r w:rsidRPr="00F83830">
        <w:rPr>
          <w:szCs w:val="20"/>
        </w:rPr>
        <w:t xml:space="preserve">Advertising is actions by people or businesses to draw attention to their services. The ways people and businesses can promote services are almost limitless and include all forms of printed and electronic media. </w:t>
      </w:r>
    </w:p>
    <w:p w:rsidR="0023510C" w:rsidRPr="00F83830" w:rsidRDefault="0023510C" w:rsidP="00454B93">
      <w:pPr>
        <w:pStyle w:val="AHPRAbody"/>
        <w:rPr>
          <w:szCs w:val="20"/>
        </w:rPr>
      </w:pPr>
      <w:r w:rsidRPr="00F83830">
        <w:rPr>
          <w:szCs w:val="20"/>
        </w:rPr>
        <w:t>If you are advertising a regulated health service, your advertising must not:</w:t>
      </w:r>
    </w:p>
    <w:p w:rsidR="0023510C" w:rsidRPr="0023510C" w:rsidRDefault="0023510C" w:rsidP="00454B93">
      <w:pPr>
        <w:pStyle w:val="Bulletedlist"/>
        <w:numPr>
          <w:ilvl w:val="0"/>
          <w:numId w:val="12"/>
        </w:numPr>
        <w:rPr>
          <w:lang w:eastAsia="en-AU"/>
        </w:rPr>
      </w:pPr>
      <w:r w:rsidRPr="0023510C">
        <w:rPr>
          <w:b/>
          <w:bCs/>
          <w:lang w:eastAsia="en-AU"/>
        </w:rPr>
        <w:t>be false, misleading or deceptive</w:t>
      </w:r>
      <w:r w:rsidRPr="0023510C">
        <w:rPr>
          <w:lang w:eastAsia="en-AU"/>
        </w:rPr>
        <w:t>, or likely to be misleading or deceptive</w:t>
      </w:r>
    </w:p>
    <w:p w:rsidR="0023510C" w:rsidRPr="0023510C" w:rsidRDefault="0023510C" w:rsidP="00454B93">
      <w:pPr>
        <w:pStyle w:val="Bulletedlist"/>
        <w:numPr>
          <w:ilvl w:val="0"/>
          <w:numId w:val="12"/>
        </w:numPr>
        <w:rPr>
          <w:lang w:eastAsia="en-AU"/>
        </w:rPr>
      </w:pPr>
      <w:r w:rsidRPr="0023510C">
        <w:rPr>
          <w:b/>
          <w:bCs/>
          <w:lang w:eastAsia="en-AU"/>
        </w:rPr>
        <w:t>offer a gift, discount or other inducement</w:t>
      </w:r>
      <w:r w:rsidRPr="0023510C">
        <w:rPr>
          <w:lang w:eastAsia="en-AU"/>
        </w:rPr>
        <w:t>, unless the terms and conditions of the offer are also stated</w:t>
      </w:r>
    </w:p>
    <w:p w:rsidR="0023510C" w:rsidRPr="0023510C" w:rsidRDefault="0023510C" w:rsidP="00454B93">
      <w:pPr>
        <w:pStyle w:val="Bulletedlist"/>
        <w:numPr>
          <w:ilvl w:val="0"/>
          <w:numId w:val="12"/>
        </w:numPr>
        <w:rPr>
          <w:lang w:eastAsia="en-AU"/>
        </w:rPr>
      </w:pPr>
      <w:r w:rsidRPr="0023510C">
        <w:rPr>
          <w:b/>
          <w:bCs/>
          <w:lang w:eastAsia="en-AU"/>
        </w:rPr>
        <w:t>use testimonials or purported testimonials</w:t>
      </w:r>
      <w:r w:rsidRPr="0023510C">
        <w:rPr>
          <w:lang w:eastAsia="en-AU"/>
        </w:rPr>
        <w:t> about the service or business</w:t>
      </w:r>
    </w:p>
    <w:p w:rsidR="0023510C" w:rsidRPr="0023510C" w:rsidRDefault="0023510C" w:rsidP="00454B93">
      <w:pPr>
        <w:pStyle w:val="Bulletedlist"/>
        <w:numPr>
          <w:ilvl w:val="0"/>
          <w:numId w:val="12"/>
        </w:numPr>
        <w:rPr>
          <w:lang w:eastAsia="en-AU"/>
        </w:rPr>
      </w:pPr>
      <w:r w:rsidRPr="0023510C">
        <w:rPr>
          <w:b/>
          <w:bCs/>
          <w:lang w:eastAsia="en-AU"/>
        </w:rPr>
        <w:t>create an unreasonable expectation of beneficial treatment</w:t>
      </w:r>
      <w:r w:rsidRPr="0023510C">
        <w:rPr>
          <w:lang w:eastAsia="en-AU"/>
        </w:rPr>
        <w:t>, or</w:t>
      </w:r>
    </w:p>
    <w:p w:rsidR="0023510C" w:rsidRPr="0023510C" w:rsidRDefault="0023510C" w:rsidP="00454B93">
      <w:pPr>
        <w:pStyle w:val="Bulletedlist"/>
        <w:numPr>
          <w:ilvl w:val="0"/>
          <w:numId w:val="12"/>
        </w:numPr>
        <w:rPr>
          <w:lang w:eastAsia="en-AU"/>
        </w:rPr>
      </w:pPr>
      <w:r w:rsidRPr="0023510C">
        <w:rPr>
          <w:lang w:eastAsia="en-AU"/>
        </w:rPr>
        <w:t>directly or indirectly </w:t>
      </w:r>
      <w:r w:rsidRPr="0023510C">
        <w:rPr>
          <w:b/>
          <w:bCs/>
          <w:lang w:eastAsia="en-AU"/>
        </w:rPr>
        <w:t>encourage the indiscriminate or unnecessary use of regulated health services</w:t>
      </w:r>
      <w:r w:rsidRPr="0023510C">
        <w:rPr>
          <w:lang w:eastAsia="en-AU"/>
        </w:rPr>
        <w:t>.</w:t>
      </w:r>
    </w:p>
    <w:p w:rsidR="0023510C" w:rsidRPr="0023510C" w:rsidRDefault="0023510C" w:rsidP="00454B93">
      <w:pPr>
        <w:pStyle w:val="AHPRAbody"/>
        <w:rPr>
          <w:szCs w:val="20"/>
        </w:rPr>
      </w:pPr>
      <w:r w:rsidRPr="00F83830">
        <w:rPr>
          <w:szCs w:val="20"/>
        </w:rPr>
        <w:br/>
        <w:t xml:space="preserve">If you’re not sure you’re meeting your obligations, or if you’ve been contacted by AHPRA about your advertising there are </w:t>
      </w:r>
      <w:hyperlink r:id="rId17" w:history="1">
        <w:r w:rsidRPr="0023510C">
          <w:rPr>
            <w:rStyle w:val="Hyperlink"/>
            <w:szCs w:val="20"/>
          </w:rPr>
          <w:t>steps you can follow</w:t>
        </w:r>
      </w:hyperlink>
      <w:r w:rsidRPr="0023510C">
        <w:rPr>
          <w:szCs w:val="20"/>
        </w:rPr>
        <w:t xml:space="preserve"> to make sure you comply with your professional and legal obligations. </w:t>
      </w:r>
    </w:p>
    <w:p w:rsidR="00BE70F2" w:rsidRPr="00F83830" w:rsidRDefault="0023510C" w:rsidP="00454B93">
      <w:pPr>
        <w:pStyle w:val="AHPRAbody"/>
        <w:rPr>
          <w:szCs w:val="20"/>
          <w:lang w:eastAsia="en-AU"/>
        </w:rPr>
      </w:pPr>
      <w:r w:rsidRPr="0023510C">
        <w:rPr>
          <w:szCs w:val="20"/>
        </w:rPr>
        <w:t xml:space="preserve">For further details see AHPRA’s </w:t>
      </w:r>
      <w:hyperlink r:id="rId18" w:history="1">
        <w:r w:rsidRPr="00F83830">
          <w:rPr>
            <w:rStyle w:val="Hyperlink"/>
            <w:szCs w:val="20"/>
          </w:rPr>
          <w:t>advertising resources</w:t>
        </w:r>
      </w:hyperlink>
      <w:r w:rsidRPr="00F83830">
        <w:rPr>
          <w:szCs w:val="20"/>
        </w:rPr>
        <w:t xml:space="preserve"> on their website.</w:t>
      </w:r>
    </w:p>
    <w:p w:rsidR="00BE70F2" w:rsidRDefault="00BE70F2" w:rsidP="00454B93">
      <w:pPr>
        <w:rPr>
          <w:rFonts w:ascii="Arial" w:eastAsia="Arial" w:hAnsi="Arial" w:cs="Arial"/>
          <w:sz w:val="10"/>
          <w:szCs w:val="10"/>
        </w:rPr>
      </w:pPr>
    </w:p>
    <w:p w:rsidR="00BE70F2" w:rsidRDefault="00FF3316" w:rsidP="00454B93">
      <w:pPr>
        <w:pStyle w:val="Heading1"/>
        <w:ind w:left="0"/>
        <w:rPr>
          <w:b w:val="0"/>
          <w:bCs w:val="0"/>
        </w:rPr>
      </w:pPr>
      <w:r>
        <w:rPr>
          <w:color w:val="007CC3"/>
        </w:rPr>
        <w:t>Are your contact details up to</w:t>
      </w:r>
      <w:r>
        <w:rPr>
          <w:color w:val="007CC3"/>
          <w:spacing w:val="-11"/>
        </w:rPr>
        <w:t xml:space="preserve"> </w:t>
      </w:r>
      <w:r>
        <w:rPr>
          <w:color w:val="007CC3"/>
        </w:rPr>
        <w:t>date?</w:t>
      </w:r>
    </w:p>
    <w:p w:rsidR="00BE70F2" w:rsidRDefault="00BE70F2" w:rsidP="00454B93">
      <w:pPr>
        <w:rPr>
          <w:rFonts w:ascii="Arial" w:eastAsia="Arial" w:hAnsi="Arial" w:cs="Arial"/>
          <w:b/>
          <w:bCs/>
          <w:sz w:val="17"/>
          <w:szCs w:val="17"/>
        </w:rPr>
      </w:pPr>
    </w:p>
    <w:p w:rsidR="00BE70F2" w:rsidRDefault="00FF3316" w:rsidP="00454B93">
      <w:pPr>
        <w:pStyle w:val="BodyText"/>
        <w:ind w:left="0"/>
      </w:pPr>
      <w:r>
        <w:t>It is important that your contact details are up to date to receive renewal reminders from AHPRA</w:t>
      </w:r>
      <w:r>
        <w:rPr>
          <w:spacing w:val="-23"/>
        </w:rPr>
        <w:t xml:space="preserve"> </w:t>
      </w:r>
      <w:r>
        <w:t>and</w:t>
      </w:r>
      <w:r>
        <w:rPr>
          <w:w w:val="99"/>
        </w:rPr>
        <w:t xml:space="preserve"> </w:t>
      </w:r>
      <w:r>
        <w:t xml:space="preserve">information from the Board. You can check your details via the </w:t>
      </w:r>
      <w:hyperlink r:id="rId19">
        <w:r>
          <w:rPr>
            <w:color w:val="0000FF"/>
            <w:u w:val="single" w:color="0000FF"/>
          </w:rPr>
          <w:t xml:space="preserve">Login icon </w:t>
        </w:r>
      </w:hyperlink>
      <w:r>
        <w:t>at the top right of the</w:t>
      </w:r>
      <w:r>
        <w:rPr>
          <w:spacing w:val="-22"/>
        </w:rPr>
        <w:t xml:space="preserve"> </w:t>
      </w:r>
      <w:r>
        <w:t>AHPRA</w:t>
      </w:r>
      <w:r>
        <w:rPr>
          <w:w w:val="99"/>
        </w:rPr>
        <w:t xml:space="preserve"> </w:t>
      </w:r>
      <w:r>
        <w:t>website. Email accounts need to be set to receive communications from AHPRA and the Board to</w:t>
      </w:r>
      <w:r>
        <w:rPr>
          <w:spacing w:val="-22"/>
        </w:rPr>
        <w:t xml:space="preserve"> </w:t>
      </w:r>
      <w:r>
        <w:t>avoid</w:t>
      </w:r>
      <w:r>
        <w:rPr>
          <w:w w:val="99"/>
        </w:rPr>
        <w:t xml:space="preserve"> </w:t>
      </w:r>
      <w:r>
        <w:t>misdirection to an account junk</w:t>
      </w:r>
      <w:r>
        <w:rPr>
          <w:spacing w:val="-6"/>
        </w:rPr>
        <w:t xml:space="preserve"> </w:t>
      </w:r>
      <w:r>
        <w:t>box.</w:t>
      </w:r>
    </w:p>
    <w:p w:rsidR="00BE70F2" w:rsidRDefault="00BE70F2" w:rsidP="00454B93">
      <w:pPr>
        <w:rPr>
          <w:rFonts w:ascii="Arial" w:eastAsia="Arial" w:hAnsi="Arial" w:cs="Arial"/>
          <w:sz w:val="17"/>
          <w:szCs w:val="17"/>
        </w:rPr>
      </w:pPr>
    </w:p>
    <w:p w:rsidR="00BE70F2" w:rsidRDefault="00FF3316" w:rsidP="00454B93">
      <w:pPr>
        <w:pStyle w:val="Heading1"/>
        <w:ind w:left="0"/>
        <w:rPr>
          <w:b w:val="0"/>
          <w:bCs w:val="0"/>
        </w:rPr>
      </w:pPr>
      <w:r>
        <w:rPr>
          <w:color w:val="007CC3"/>
        </w:rPr>
        <w:t>Follow AHPRA on social</w:t>
      </w:r>
      <w:r>
        <w:rPr>
          <w:color w:val="007CC3"/>
          <w:spacing w:val="-8"/>
        </w:rPr>
        <w:t xml:space="preserve"> </w:t>
      </w:r>
      <w:r>
        <w:rPr>
          <w:color w:val="007CC3"/>
        </w:rPr>
        <w:t>media</w:t>
      </w:r>
    </w:p>
    <w:p w:rsidR="00BE70F2" w:rsidRDefault="00BE70F2" w:rsidP="00454B93">
      <w:pPr>
        <w:rPr>
          <w:rFonts w:ascii="Arial" w:eastAsia="Arial" w:hAnsi="Arial" w:cs="Arial"/>
          <w:b/>
          <w:bCs/>
          <w:sz w:val="17"/>
          <w:szCs w:val="17"/>
        </w:rPr>
      </w:pPr>
    </w:p>
    <w:p w:rsidR="00BE70F2" w:rsidRDefault="00FF3316" w:rsidP="00454B93">
      <w:pPr>
        <w:pStyle w:val="BodyText"/>
        <w:ind w:left="0"/>
      </w:pPr>
      <w:r>
        <w:t xml:space="preserve">Connect with AHPRA on </w:t>
      </w:r>
      <w:hyperlink r:id="rId20">
        <w:r>
          <w:rPr>
            <w:color w:val="0000FF"/>
            <w:u w:val="single" w:color="0000FF"/>
          </w:rPr>
          <w:t>Facebook</w:t>
        </w:r>
        <w:r>
          <w:t>,</w:t>
        </w:r>
      </w:hyperlink>
      <w:r>
        <w:t xml:space="preserve"> </w:t>
      </w:r>
      <w:hyperlink r:id="rId21">
        <w:r>
          <w:rPr>
            <w:color w:val="0000FF"/>
            <w:u w:val="single" w:color="0000FF"/>
          </w:rPr>
          <w:t xml:space="preserve">Twitter </w:t>
        </w:r>
      </w:hyperlink>
      <w:r>
        <w:t xml:space="preserve">or </w:t>
      </w:r>
      <w:hyperlink r:id="rId22">
        <w:r>
          <w:rPr>
            <w:color w:val="0000FF"/>
            <w:u w:val="single" w:color="0000FF"/>
          </w:rPr>
          <w:t xml:space="preserve">LinkedIn </w:t>
        </w:r>
      </w:hyperlink>
      <w:r>
        <w:t>to receive information about important topics</w:t>
      </w:r>
      <w:r>
        <w:rPr>
          <w:spacing w:val="-21"/>
        </w:rPr>
        <w:t xml:space="preserve"> </w:t>
      </w:r>
      <w:r>
        <w:t>for</w:t>
      </w:r>
      <w:r>
        <w:rPr>
          <w:w w:val="99"/>
        </w:rPr>
        <w:t xml:space="preserve"> </w:t>
      </w:r>
      <w:r>
        <w:t>your profession and participate in the</w:t>
      </w:r>
      <w:r>
        <w:rPr>
          <w:spacing w:val="-13"/>
        </w:rPr>
        <w:t xml:space="preserve"> </w:t>
      </w:r>
      <w:r>
        <w:t>discussion.</w:t>
      </w:r>
    </w:p>
    <w:p w:rsidR="00BE70F2" w:rsidRDefault="00BE70F2" w:rsidP="00454B93">
      <w:pPr>
        <w:rPr>
          <w:rFonts w:ascii="Arial" w:eastAsia="Arial" w:hAnsi="Arial" w:cs="Arial"/>
          <w:sz w:val="14"/>
          <w:szCs w:val="14"/>
        </w:rPr>
      </w:pPr>
    </w:p>
    <w:tbl>
      <w:tblPr>
        <w:tblW w:w="0" w:type="auto"/>
        <w:tblInd w:w="118" w:type="dxa"/>
        <w:tblLayout w:type="fixed"/>
        <w:tblCellMar>
          <w:left w:w="0" w:type="dxa"/>
          <w:right w:w="0" w:type="dxa"/>
        </w:tblCellMar>
        <w:tblLook w:val="01E0" w:firstRow="1" w:lastRow="1" w:firstColumn="1" w:lastColumn="1" w:noHBand="0" w:noVBand="0"/>
      </w:tblPr>
      <w:tblGrid>
        <w:gridCol w:w="801"/>
        <w:gridCol w:w="679"/>
        <w:gridCol w:w="790"/>
      </w:tblGrid>
      <w:tr w:rsidR="00BE70F2">
        <w:trPr>
          <w:trHeight w:hRule="exact" w:val="583"/>
        </w:trPr>
        <w:tc>
          <w:tcPr>
            <w:tcW w:w="801" w:type="dxa"/>
            <w:tcBorders>
              <w:top w:val="nil"/>
              <w:left w:val="nil"/>
              <w:bottom w:val="nil"/>
              <w:right w:val="nil"/>
            </w:tcBorders>
          </w:tcPr>
          <w:p w:rsidR="00BE70F2" w:rsidRDefault="00BE70F2" w:rsidP="00454B93">
            <w:pPr>
              <w:pStyle w:val="TableParagraph"/>
              <w:rPr>
                <w:rFonts w:ascii="Arial" w:eastAsia="Arial" w:hAnsi="Arial" w:cs="Arial"/>
                <w:sz w:val="5"/>
                <w:szCs w:val="5"/>
              </w:rPr>
            </w:pPr>
          </w:p>
          <w:p w:rsidR="00BE70F2" w:rsidRDefault="00FF3316" w:rsidP="00454B93">
            <w:pPr>
              <w:pStyle w:val="TableParagraph"/>
              <w:rPr>
                <w:rFonts w:ascii="Arial" w:eastAsia="Arial" w:hAnsi="Arial" w:cs="Arial"/>
                <w:sz w:val="20"/>
                <w:szCs w:val="20"/>
              </w:rPr>
            </w:pPr>
            <w:r>
              <w:rPr>
                <w:rFonts w:ascii="Arial" w:eastAsia="Arial" w:hAnsi="Arial" w:cs="Arial"/>
                <w:noProof/>
                <w:position w:val="-8"/>
                <w:sz w:val="20"/>
                <w:szCs w:val="20"/>
              </w:rPr>
              <w:drawing>
                <wp:inline distT="0" distB="0" distL="0" distR="0">
                  <wp:extent cx="295274" cy="2952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295274" cy="295275"/>
                          </a:xfrm>
                          <a:prstGeom prst="rect">
                            <a:avLst/>
                          </a:prstGeom>
                        </pic:spPr>
                      </pic:pic>
                    </a:graphicData>
                  </a:graphic>
                </wp:inline>
              </w:drawing>
            </w:r>
          </w:p>
        </w:tc>
        <w:tc>
          <w:tcPr>
            <w:tcW w:w="679" w:type="dxa"/>
            <w:tcBorders>
              <w:top w:val="nil"/>
              <w:left w:val="nil"/>
              <w:bottom w:val="nil"/>
              <w:right w:val="nil"/>
            </w:tcBorders>
          </w:tcPr>
          <w:p w:rsidR="00BE70F2" w:rsidRDefault="00BE70F2" w:rsidP="00454B93">
            <w:pPr>
              <w:pStyle w:val="TableParagraph"/>
              <w:rPr>
                <w:rFonts w:ascii="Arial" w:eastAsia="Arial" w:hAnsi="Arial" w:cs="Arial"/>
                <w:sz w:val="5"/>
                <w:szCs w:val="5"/>
              </w:rPr>
            </w:pPr>
          </w:p>
          <w:p w:rsidR="00BE70F2" w:rsidRDefault="00FF3316" w:rsidP="00454B93">
            <w:pPr>
              <w:pStyle w:val="TableParagraph"/>
              <w:rPr>
                <w:rFonts w:ascii="Arial" w:eastAsia="Arial" w:hAnsi="Arial" w:cs="Arial"/>
                <w:sz w:val="20"/>
                <w:szCs w:val="20"/>
              </w:rPr>
            </w:pPr>
            <w:r>
              <w:rPr>
                <w:rFonts w:ascii="Arial" w:eastAsia="Arial" w:hAnsi="Arial" w:cs="Arial"/>
                <w:noProof/>
                <w:position w:val="-8"/>
                <w:sz w:val="20"/>
                <w:szCs w:val="20"/>
              </w:rPr>
              <w:drawing>
                <wp:inline distT="0" distB="0" distL="0" distR="0">
                  <wp:extent cx="295275" cy="2952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295275" cy="295275"/>
                          </a:xfrm>
                          <a:prstGeom prst="rect">
                            <a:avLst/>
                          </a:prstGeom>
                        </pic:spPr>
                      </pic:pic>
                    </a:graphicData>
                  </a:graphic>
                </wp:inline>
              </w:drawing>
            </w:r>
          </w:p>
        </w:tc>
        <w:tc>
          <w:tcPr>
            <w:tcW w:w="790" w:type="dxa"/>
            <w:tcBorders>
              <w:top w:val="nil"/>
              <w:left w:val="nil"/>
              <w:bottom w:val="nil"/>
              <w:right w:val="nil"/>
            </w:tcBorders>
          </w:tcPr>
          <w:p w:rsidR="00BE70F2" w:rsidRDefault="00BE70F2" w:rsidP="00454B93">
            <w:pPr>
              <w:pStyle w:val="TableParagraph"/>
              <w:rPr>
                <w:rFonts w:ascii="Arial" w:eastAsia="Arial" w:hAnsi="Arial" w:cs="Arial"/>
                <w:sz w:val="5"/>
                <w:szCs w:val="5"/>
              </w:rPr>
            </w:pPr>
          </w:p>
          <w:p w:rsidR="00BE70F2" w:rsidRDefault="00FF3316" w:rsidP="00454B93">
            <w:pPr>
              <w:pStyle w:val="TableParagraph"/>
              <w:rPr>
                <w:rFonts w:ascii="Arial" w:eastAsia="Arial" w:hAnsi="Arial" w:cs="Arial"/>
                <w:sz w:val="20"/>
                <w:szCs w:val="20"/>
              </w:rPr>
            </w:pPr>
            <w:r>
              <w:rPr>
                <w:rFonts w:ascii="Arial" w:eastAsia="Arial" w:hAnsi="Arial" w:cs="Arial"/>
                <w:noProof/>
                <w:position w:val="-8"/>
                <w:sz w:val="20"/>
                <w:szCs w:val="20"/>
              </w:rPr>
              <w:drawing>
                <wp:inline distT="0" distB="0" distL="0" distR="0">
                  <wp:extent cx="286383" cy="2857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5" cstate="print"/>
                          <a:stretch>
                            <a:fillRect/>
                          </a:stretch>
                        </pic:blipFill>
                        <pic:spPr>
                          <a:xfrm>
                            <a:off x="0" y="0"/>
                            <a:ext cx="286383" cy="285750"/>
                          </a:xfrm>
                          <a:prstGeom prst="rect">
                            <a:avLst/>
                          </a:prstGeom>
                        </pic:spPr>
                      </pic:pic>
                    </a:graphicData>
                  </a:graphic>
                </wp:inline>
              </w:drawing>
            </w:r>
          </w:p>
        </w:tc>
      </w:tr>
    </w:tbl>
    <w:p w:rsidR="00BE70F2" w:rsidRDefault="00BE70F2" w:rsidP="00454B93">
      <w:pPr>
        <w:rPr>
          <w:rFonts w:ascii="Arial" w:eastAsia="Arial" w:hAnsi="Arial" w:cs="Arial"/>
          <w:sz w:val="29"/>
          <w:szCs w:val="29"/>
        </w:rPr>
      </w:pPr>
    </w:p>
    <w:p w:rsidR="00BE70F2" w:rsidRDefault="00FF3316" w:rsidP="00454B93">
      <w:pPr>
        <w:pStyle w:val="Heading1"/>
        <w:ind w:left="0"/>
        <w:rPr>
          <w:b w:val="0"/>
          <w:bCs w:val="0"/>
        </w:rPr>
      </w:pPr>
      <w:r>
        <w:rPr>
          <w:color w:val="007CC3"/>
        </w:rPr>
        <w:t>Further</w:t>
      </w:r>
      <w:r>
        <w:rPr>
          <w:color w:val="007CC3"/>
          <w:spacing w:val="-11"/>
        </w:rPr>
        <w:t xml:space="preserve"> </w:t>
      </w:r>
      <w:r>
        <w:rPr>
          <w:color w:val="007CC3"/>
        </w:rPr>
        <w:t>information</w:t>
      </w:r>
    </w:p>
    <w:p w:rsidR="00BE70F2" w:rsidRDefault="00BE70F2" w:rsidP="00454B93">
      <w:pPr>
        <w:rPr>
          <w:rFonts w:ascii="Arial" w:eastAsia="Arial" w:hAnsi="Arial" w:cs="Arial"/>
          <w:b/>
          <w:bCs/>
          <w:sz w:val="17"/>
          <w:szCs w:val="17"/>
        </w:rPr>
      </w:pPr>
    </w:p>
    <w:p w:rsidR="00BE70F2" w:rsidRDefault="00FF3316" w:rsidP="00454B93">
      <w:pPr>
        <w:pStyle w:val="BodyText"/>
        <w:ind w:left="0"/>
      </w:pPr>
      <w:r>
        <w:rPr>
          <w:spacing w:val="3"/>
        </w:rPr>
        <w:t xml:space="preserve">We </w:t>
      </w:r>
      <w:r>
        <w:t>publish a range of information about registration and our expectations of you as an optometrist on</w:t>
      </w:r>
      <w:r>
        <w:rPr>
          <w:spacing w:val="-32"/>
        </w:rPr>
        <w:t xml:space="preserve"> </w:t>
      </w:r>
      <w:r>
        <w:t>our</w:t>
      </w:r>
      <w:r>
        <w:rPr>
          <w:w w:val="99"/>
        </w:rPr>
        <w:t xml:space="preserve"> </w:t>
      </w:r>
      <w:r>
        <w:lastRenderedPageBreak/>
        <w:t xml:space="preserve">website at </w:t>
      </w:r>
      <w:hyperlink r:id="rId26">
        <w:r>
          <w:rPr>
            <w:color w:val="0000FF"/>
            <w:u w:val="single" w:color="0000FF"/>
          </w:rPr>
          <w:t xml:space="preserve">www.optometryboard.gov.au </w:t>
        </w:r>
      </w:hyperlink>
      <w:r>
        <w:t>or</w:t>
      </w:r>
      <w:r>
        <w:rPr>
          <w:spacing w:val="-9"/>
        </w:rPr>
        <w:t xml:space="preserve"> </w:t>
      </w:r>
      <w:hyperlink r:id="rId27">
        <w:r>
          <w:rPr>
            <w:color w:val="0000FF"/>
            <w:u w:val="single" w:color="0000FF"/>
          </w:rPr>
          <w:t>www.ahpra.gov.au</w:t>
        </w:r>
        <w:r>
          <w:t>.</w:t>
        </w:r>
      </w:hyperlink>
    </w:p>
    <w:p w:rsidR="00BE70F2" w:rsidRDefault="00BE70F2" w:rsidP="00454B93">
      <w:pPr>
        <w:rPr>
          <w:rFonts w:ascii="Arial" w:eastAsia="Arial" w:hAnsi="Arial" w:cs="Arial"/>
          <w:sz w:val="10"/>
          <w:szCs w:val="10"/>
        </w:rPr>
      </w:pPr>
    </w:p>
    <w:p w:rsidR="00DE0AB8" w:rsidRDefault="00FF3316" w:rsidP="00454B93">
      <w:pPr>
        <w:pStyle w:val="BodyText"/>
        <w:ind w:left="0"/>
      </w:pPr>
      <w:r>
        <w:t>For more details or help with questions about your registration, notifications or other matters relevant</w:t>
      </w:r>
      <w:r>
        <w:rPr>
          <w:spacing w:val="-26"/>
        </w:rPr>
        <w:t xml:space="preserve"> </w:t>
      </w:r>
      <w:r>
        <w:t>to</w:t>
      </w:r>
      <w:r>
        <w:rPr>
          <w:w w:val="99"/>
        </w:rPr>
        <w:t xml:space="preserve"> </w:t>
      </w:r>
      <w:r>
        <w:t xml:space="preserve">the National Scheme, refer to information published on </w:t>
      </w:r>
      <w:hyperlink r:id="rId28">
        <w:r>
          <w:rPr>
            <w:color w:val="0000FF"/>
            <w:u w:val="single" w:color="0000FF"/>
          </w:rPr>
          <w:t>www.ahpra.gov.au</w:t>
        </w:r>
        <w:r w:rsidRPr="00787D77">
          <w:rPr>
            <w:color w:val="0000FF"/>
            <w:u w:val="single" w:color="0000FF"/>
          </w:rPr>
          <w:t xml:space="preserve"> </w:t>
        </w:r>
      </w:hyperlink>
      <w:r>
        <w:t xml:space="preserve">or </w:t>
      </w:r>
      <w:hyperlink r:id="rId29">
        <w:r w:rsidR="00787D77">
          <w:t>contact AHPRA online,</w:t>
        </w:r>
      </w:hyperlink>
      <w:r w:rsidR="00787D77" w:rsidDel="00787D77">
        <w:rPr>
          <w:w w:val="99"/>
        </w:rPr>
        <w:t xml:space="preserve"> </w:t>
      </w:r>
      <w:r>
        <w:t>or call 1300 419</w:t>
      </w:r>
      <w:r>
        <w:rPr>
          <w:spacing w:val="-12"/>
        </w:rPr>
        <w:t xml:space="preserve"> </w:t>
      </w:r>
      <w:r>
        <w:t>495</w:t>
      </w:r>
    </w:p>
    <w:p w:rsidR="00DE0AB8" w:rsidRDefault="00DE0AB8" w:rsidP="00454B93">
      <w:pPr>
        <w:pStyle w:val="BodyText"/>
        <w:ind w:left="0"/>
      </w:pPr>
    </w:p>
    <w:p w:rsidR="00BE70F2" w:rsidRDefault="00FF3316" w:rsidP="00454B93">
      <w:pPr>
        <w:pStyle w:val="Heading1"/>
        <w:ind w:left="0"/>
        <w:rPr>
          <w:b w:val="0"/>
          <w:bCs w:val="0"/>
        </w:rPr>
      </w:pPr>
      <w:r>
        <w:rPr>
          <w:color w:val="007CC3"/>
        </w:rPr>
        <w:t>Ian</w:t>
      </w:r>
      <w:r>
        <w:rPr>
          <w:color w:val="007CC3"/>
          <w:spacing w:val="-6"/>
        </w:rPr>
        <w:t xml:space="preserve"> </w:t>
      </w:r>
      <w:r>
        <w:rPr>
          <w:color w:val="007CC3"/>
        </w:rPr>
        <w:t>Bluntish</w:t>
      </w:r>
    </w:p>
    <w:p w:rsidR="00BE70F2" w:rsidRDefault="00BE70F2" w:rsidP="00454B93">
      <w:pPr>
        <w:rPr>
          <w:rFonts w:ascii="Arial" w:eastAsia="Arial" w:hAnsi="Arial" w:cs="Arial"/>
          <w:b/>
          <w:bCs/>
          <w:sz w:val="17"/>
          <w:szCs w:val="17"/>
        </w:rPr>
      </w:pPr>
    </w:p>
    <w:p w:rsidR="00BE70F2" w:rsidRDefault="00FF3316" w:rsidP="00454B93">
      <w:pPr>
        <w:rPr>
          <w:rFonts w:ascii="Arial" w:eastAsia="Arial" w:hAnsi="Arial" w:cs="Arial"/>
          <w:sz w:val="20"/>
          <w:szCs w:val="20"/>
        </w:rPr>
      </w:pPr>
      <w:r>
        <w:rPr>
          <w:rFonts w:ascii="Arial"/>
          <w:b/>
          <w:sz w:val="20"/>
        </w:rPr>
        <w:t>Chair, Optometry Board of</w:t>
      </w:r>
      <w:r>
        <w:rPr>
          <w:rFonts w:ascii="Arial"/>
          <w:b/>
          <w:spacing w:val="-13"/>
          <w:sz w:val="20"/>
        </w:rPr>
        <w:t xml:space="preserve"> </w:t>
      </w:r>
      <w:r>
        <w:rPr>
          <w:rFonts w:ascii="Arial"/>
          <w:b/>
          <w:sz w:val="20"/>
        </w:rPr>
        <w:t>Australia</w:t>
      </w:r>
    </w:p>
    <w:p w:rsidR="00BE70F2" w:rsidRDefault="00BE70F2" w:rsidP="00454B93">
      <w:pPr>
        <w:rPr>
          <w:rFonts w:ascii="Arial" w:eastAsia="Arial" w:hAnsi="Arial" w:cs="Arial"/>
          <w:b/>
          <w:bCs/>
          <w:sz w:val="17"/>
          <w:szCs w:val="17"/>
        </w:rPr>
      </w:pPr>
    </w:p>
    <w:p w:rsidR="00BE70F2" w:rsidRDefault="00F83830" w:rsidP="00454B93">
      <w:pPr>
        <w:pStyle w:val="BodyText"/>
        <w:ind w:left="0"/>
      </w:pPr>
      <w:r>
        <w:t xml:space="preserve">October </w:t>
      </w:r>
      <w:r w:rsidR="00FF3316">
        <w:t>2019</w:t>
      </w:r>
    </w:p>
    <w:p w:rsidR="00BE70F2" w:rsidRDefault="00BE70F2" w:rsidP="00454B93">
      <w:pPr>
        <w:rPr>
          <w:rFonts w:ascii="Arial" w:eastAsia="Arial" w:hAnsi="Arial" w:cs="Arial"/>
          <w:sz w:val="20"/>
          <w:szCs w:val="20"/>
        </w:rPr>
      </w:pPr>
    </w:p>
    <w:p w:rsidR="00BE70F2" w:rsidRDefault="00BA32DC" w:rsidP="00454B93">
      <w:pPr>
        <w:rPr>
          <w:rFonts w:ascii="Arial" w:eastAsia="Arial" w:hAnsi="Arial" w:cs="Arial"/>
          <w:sz w:val="18"/>
          <w:szCs w:val="18"/>
        </w:rPr>
      </w:pPr>
      <w:hyperlink r:id="rId30">
        <w:r w:rsidR="00FF3316">
          <w:rPr>
            <w:rFonts w:ascii="Arial" w:eastAsia="Arial" w:hAnsi="Arial" w:cs="Arial"/>
            <w:i/>
            <w:color w:val="0000FF"/>
            <w:sz w:val="18"/>
            <w:szCs w:val="18"/>
            <w:u w:val="single" w:color="0000FF"/>
          </w:rPr>
          <w:t>The</w:t>
        </w:r>
        <w:r w:rsidR="00FF3316">
          <w:rPr>
            <w:rFonts w:ascii="Arial" w:eastAsia="Arial" w:hAnsi="Arial" w:cs="Arial"/>
            <w:i/>
            <w:color w:val="0000FF"/>
            <w:spacing w:val="-2"/>
            <w:sz w:val="18"/>
            <w:szCs w:val="18"/>
            <w:u w:val="single" w:color="0000FF"/>
          </w:rPr>
          <w:t xml:space="preserve"> </w:t>
        </w:r>
        <w:r w:rsidR="00FF3316">
          <w:rPr>
            <w:rFonts w:ascii="Arial" w:eastAsia="Arial" w:hAnsi="Arial" w:cs="Arial"/>
            <w:i/>
            <w:color w:val="0000FF"/>
            <w:sz w:val="18"/>
            <w:szCs w:val="18"/>
            <w:u w:val="single" w:color="0000FF"/>
          </w:rPr>
          <w:t>Optometry</w:t>
        </w:r>
        <w:r w:rsidR="00FF3316">
          <w:rPr>
            <w:rFonts w:ascii="Arial" w:eastAsia="Arial" w:hAnsi="Arial" w:cs="Arial"/>
            <w:i/>
            <w:color w:val="0000FF"/>
            <w:spacing w:val="-1"/>
            <w:sz w:val="18"/>
            <w:szCs w:val="18"/>
            <w:u w:val="single" w:color="0000FF"/>
          </w:rPr>
          <w:t xml:space="preserve"> </w:t>
        </w:r>
        <w:r w:rsidR="00FF3316">
          <w:rPr>
            <w:rFonts w:ascii="Arial" w:eastAsia="Arial" w:hAnsi="Arial" w:cs="Arial"/>
            <w:i/>
            <w:color w:val="0000FF"/>
            <w:sz w:val="18"/>
            <w:szCs w:val="18"/>
            <w:u w:val="single" w:color="0000FF"/>
          </w:rPr>
          <w:t>Board</w:t>
        </w:r>
        <w:r w:rsidR="00FF3316">
          <w:rPr>
            <w:rFonts w:ascii="Arial" w:eastAsia="Arial" w:hAnsi="Arial" w:cs="Arial"/>
            <w:i/>
            <w:color w:val="0000FF"/>
            <w:spacing w:val="-2"/>
            <w:sz w:val="18"/>
            <w:szCs w:val="18"/>
            <w:u w:val="single" w:color="0000FF"/>
          </w:rPr>
          <w:t xml:space="preserve"> </w:t>
        </w:r>
        <w:r w:rsidR="00FF3316">
          <w:rPr>
            <w:rFonts w:ascii="Arial" w:eastAsia="Arial" w:hAnsi="Arial" w:cs="Arial"/>
            <w:i/>
            <w:color w:val="0000FF"/>
            <w:sz w:val="18"/>
            <w:szCs w:val="18"/>
            <w:u w:val="single" w:color="0000FF"/>
          </w:rPr>
          <w:t>of</w:t>
        </w:r>
        <w:r w:rsidR="00FF3316">
          <w:rPr>
            <w:rFonts w:ascii="Arial" w:eastAsia="Arial" w:hAnsi="Arial" w:cs="Arial"/>
            <w:i/>
            <w:color w:val="0000FF"/>
            <w:spacing w:val="-4"/>
            <w:sz w:val="18"/>
            <w:szCs w:val="18"/>
            <w:u w:val="single" w:color="0000FF"/>
          </w:rPr>
          <w:t xml:space="preserve"> </w:t>
        </w:r>
        <w:r w:rsidR="00FF3316">
          <w:rPr>
            <w:rFonts w:ascii="Arial" w:eastAsia="Arial" w:hAnsi="Arial" w:cs="Arial"/>
            <w:i/>
            <w:color w:val="0000FF"/>
            <w:sz w:val="18"/>
            <w:szCs w:val="18"/>
            <w:u w:val="single" w:color="0000FF"/>
          </w:rPr>
          <w:t>Australia</w:t>
        </w:r>
        <w:r w:rsidR="00FF3316">
          <w:rPr>
            <w:rFonts w:ascii="Arial" w:eastAsia="Arial" w:hAnsi="Arial" w:cs="Arial"/>
            <w:i/>
            <w:color w:val="0000FF"/>
            <w:spacing w:val="-1"/>
            <w:sz w:val="18"/>
            <w:szCs w:val="18"/>
            <w:u w:val="single" w:color="0000FF"/>
          </w:rPr>
          <w:t xml:space="preserve"> </w:t>
        </w:r>
      </w:hyperlink>
      <w:r w:rsidR="00FF3316">
        <w:rPr>
          <w:rFonts w:ascii="Arial" w:eastAsia="Arial" w:hAnsi="Arial" w:cs="Arial"/>
          <w:i/>
          <w:sz w:val="18"/>
          <w:szCs w:val="18"/>
        </w:rPr>
        <w:t>is</w:t>
      </w:r>
      <w:r w:rsidR="00FF3316">
        <w:rPr>
          <w:rFonts w:ascii="Arial" w:eastAsia="Arial" w:hAnsi="Arial" w:cs="Arial"/>
          <w:i/>
          <w:spacing w:val="-3"/>
          <w:sz w:val="18"/>
          <w:szCs w:val="18"/>
        </w:rPr>
        <w:t xml:space="preserve"> </w:t>
      </w:r>
      <w:r w:rsidR="00FF3316">
        <w:rPr>
          <w:rFonts w:ascii="Arial" w:eastAsia="Arial" w:hAnsi="Arial" w:cs="Arial"/>
          <w:i/>
          <w:sz w:val="18"/>
          <w:szCs w:val="18"/>
        </w:rPr>
        <w:t>the</w:t>
      </w:r>
      <w:r w:rsidR="00FF3316">
        <w:rPr>
          <w:rFonts w:ascii="Arial" w:eastAsia="Arial" w:hAnsi="Arial" w:cs="Arial"/>
          <w:i/>
          <w:spacing w:val="-1"/>
          <w:sz w:val="18"/>
          <w:szCs w:val="18"/>
        </w:rPr>
        <w:t xml:space="preserve"> </w:t>
      </w:r>
      <w:r w:rsidR="00FF3316">
        <w:rPr>
          <w:rFonts w:ascii="Arial" w:eastAsia="Arial" w:hAnsi="Arial" w:cs="Arial"/>
          <w:i/>
          <w:sz w:val="18"/>
          <w:szCs w:val="18"/>
        </w:rPr>
        <w:t>regulator</w:t>
      </w:r>
      <w:r w:rsidR="00FF3316">
        <w:rPr>
          <w:rFonts w:ascii="Arial" w:eastAsia="Arial" w:hAnsi="Arial" w:cs="Arial"/>
          <w:i/>
          <w:spacing w:val="-4"/>
          <w:sz w:val="18"/>
          <w:szCs w:val="18"/>
        </w:rPr>
        <w:t xml:space="preserve"> </w:t>
      </w:r>
      <w:r w:rsidR="00FF3316">
        <w:rPr>
          <w:rFonts w:ascii="Arial" w:eastAsia="Arial" w:hAnsi="Arial" w:cs="Arial"/>
          <w:i/>
          <w:sz w:val="18"/>
          <w:szCs w:val="18"/>
        </w:rPr>
        <w:t>of</w:t>
      </w:r>
      <w:r w:rsidR="00FF3316">
        <w:rPr>
          <w:rFonts w:ascii="Arial" w:eastAsia="Arial" w:hAnsi="Arial" w:cs="Arial"/>
          <w:i/>
          <w:spacing w:val="-2"/>
          <w:sz w:val="18"/>
          <w:szCs w:val="18"/>
        </w:rPr>
        <w:t xml:space="preserve"> </w:t>
      </w:r>
      <w:r w:rsidR="00FF3316">
        <w:rPr>
          <w:rFonts w:ascii="Arial" w:eastAsia="Arial" w:hAnsi="Arial" w:cs="Arial"/>
          <w:i/>
          <w:sz w:val="18"/>
          <w:szCs w:val="18"/>
        </w:rPr>
        <w:t>optometrists</w:t>
      </w:r>
      <w:r w:rsidR="00FF3316">
        <w:rPr>
          <w:rFonts w:ascii="Arial" w:eastAsia="Arial" w:hAnsi="Arial" w:cs="Arial"/>
          <w:i/>
          <w:spacing w:val="-1"/>
          <w:sz w:val="18"/>
          <w:szCs w:val="18"/>
        </w:rPr>
        <w:t xml:space="preserve"> </w:t>
      </w:r>
      <w:r w:rsidR="00FF3316">
        <w:rPr>
          <w:rFonts w:ascii="Arial" w:eastAsia="Arial" w:hAnsi="Arial" w:cs="Arial"/>
          <w:i/>
          <w:sz w:val="18"/>
          <w:szCs w:val="18"/>
        </w:rPr>
        <w:t>in</w:t>
      </w:r>
      <w:r w:rsidR="00FF3316">
        <w:rPr>
          <w:rFonts w:ascii="Arial" w:eastAsia="Arial" w:hAnsi="Arial" w:cs="Arial"/>
          <w:i/>
          <w:spacing w:val="-2"/>
          <w:sz w:val="18"/>
          <w:szCs w:val="18"/>
        </w:rPr>
        <w:t xml:space="preserve"> </w:t>
      </w:r>
      <w:r w:rsidR="00FF3316">
        <w:rPr>
          <w:rFonts w:ascii="Arial" w:eastAsia="Arial" w:hAnsi="Arial" w:cs="Arial"/>
          <w:i/>
          <w:sz w:val="18"/>
          <w:szCs w:val="18"/>
        </w:rPr>
        <w:t>Australia</w:t>
      </w:r>
      <w:r w:rsidR="00FF3316">
        <w:rPr>
          <w:rFonts w:ascii="Arial" w:eastAsia="Arial" w:hAnsi="Arial" w:cs="Arial"/>
          <w:i/>
          <w:spacing w:val="-2"/>
          <w:sz w:val="18"/>
          <w:szCs w:val="18"/>
        </w:rPr>
        <w:t xml:space="preserve"> </w:t>
      </w:r>
      <w:r w:rsidR="00FF3316">
        <w:rPr>
          <w:rFonts w:ascii="Arial" w:eastAsia="Arial" w:hAnsi="Arial" w:cs="Arial"/>
          <w:i/>
          <w:sz w:val="18"/>
          <w:szCs w:val="18"/>
        </w:rPr>
        <w:t>and</w:t>
      </w:r>
      <w:r w:rsidR="00FF3316">
        <w:rPr>
          <w:rFonts w:ascii="Arial" w:eastAsia="Arial" w:hAnsi="Arial" w:cs="Arial"/>
          <w:i/>
          <w:spacing w:val="-2"/>
          <w:sz w:val="18"/>
          <w:szCs w:val="18"/>
        </w:rPr>
        <w:t xml:space="preserve"> </w:t>
      </w:r>
      <w:r w:rsidR="00FF3316">
        <w:rPr>
          <w:rFonts w:ascii="Arial" w:eastAsia="Arial" w:hAnsi="Arial" w:cs="Arial"/>
          <w:i/>
          <w:sz w:val="18"/>
          <w:szCs w:val="18"/>
        </w:rPr>
        <w:t>acts</w:t>
      </w:r>
      <w:r w:rsidR="00FF3316">
        <w:rPr>
          <w:rFonts w:ascii="Arial" w:eastAsia="Arial" w:hAnsi="Arial" w:cs="Arial"/>
          <w:i/>
          <w:spacing w:val="-3"/>
          <w:sz w:val="18"/>
          <w:szCs w:val="18"/>
        </w:rPr>
        <w:t xml:space="preserve"> </w:t>
      </w:r>
      <w:r w:rsidR="00FF3316">
        <w:rPr>
          <w:rFonts w:ascii="Arial" w:eastAsia="Arial" w:hAnsi="Arial" w:cs="Arial"/>
          <w:i/>
          <w:sz w:val="18"/>
          <w:szCs w:val="18"/>
        </w:rPr>
        <w:t>to</w:t>
      </w:r>
      <w:r w:rsidR="00FF3316">
        <w:rPr>
          <w:rFonts w:ascii="Arial" w:eastAsia="Arial" w:hAnsi="Arial" w:cs="Arial"/>
          <w:i/>
          <w:spacing w:val="-2"/>
          <w:sz w:val="18"/>
          <w:szCs w:val="18"/>
        </w:rPr>
        <w:t xml:space="preserve"> </w:t>
      </w:r>
      <w:r w:rsidR="00FF3316">
        <w:rPr>
          <w:rFonts w:ascii="Arial" w:eastAsia="Arial" w:hAnsi="Arial" w:cs="Arial"/>
          <w:i/>
          <w:sz w:val="18"/>
          <w:szCs w:val="18"/>
        </w:rPr>
        <w:t>protect</w:t>
      </w:r>
      <w:r w:rsidR="00FF3316">
        <w:rPr>
          <w:rFonts w:ascii="Arial" w:eastAsia="Arial" w:hAnsi="Arial" w:cs="Arial"/>
          <w:i/>
          <w:spacing w:val="-4"/>
          <w:sz w:val="18"/>
          <w:szCs w:val="18"/>
        </w:rPr>
        <w:t xml:space="preserve"> </w:t>
      </w:r>
      <w:r w:rsidR="00FF3316">
        <w:rPr>
          <w:rFonts w:ascii="Arial" w:eastAsia="Arial" w:hAnsi="Arial" w:cs="Arial"/>
          <w:i/>
          <w:sz w:val="18"/>
          <w:szCs w:val="18"/>
        </w:rPr>
        <w:t>the</w:t>
      </w:r>
      <w:r w:rsidR="00FF3316">
        <w:rPr>
          <w:rFonts w:ascii="Arial" w:eastAsia="Arial" w:hAnsi="Arial" w:cs="Arial"/>
          <w:i/>
          <w:spacing w:val="-4"/>
          <w:sz w:val="18"/>
          <w:szCs w:val="18"/>
        </w:rPr>
        <w:t xml:space="preserve"> </w:t>
      </w:r>
      <w:r w:rsidR="00FF3316">
        <w:rPr>
          <w:rFonts w:ascii="Arial" w:eastAsia="Arial" w:hAnsi="Arial" w:cs="Arial"/>
          <w:i/>
          <w:sz w:val="18"/>
          <w:szCs w:val="18"/>
        </w:rPr>
        <w:t>public</w:t>
      </w:r>
      <w:r w:rsidR="00FF3316">
        <w:rPr>
          <w:rFonts w:ascii="Arial" w:eastAsia="Arial" w:hAnsi="Arial" w:cs="Arial"/>
          <w:i/>
          <w:spacing w:val="-4"/>
          <w:sz w:val="18"/>
          <w:szCs w:val="18"/>
        </w:rPr>
        <w:t xml:space="preserve"> </w:t>
      </w:r>
      <w:r w:rsidR="00FF3316">
        <w:rPr>
          <w:rFonts w:ascii="Arial" w:eastAsia="Arial" w:hAnsi="Arial" w:cs="Arial"/>
          <w:i/>
          <w:sz w:val="18"/>
          <w:szCs w:val="18"/>
        </w:rPr>
        <w:t>by</w:t>
      </w:r>
      <w:r w:rsidR="00FF3316">
        <w:rPr>
          <w:rFonts w:ascii="Arial" w:eastAsia="Arial" w:hAnsi="Arial" w:cs="Arial"/>
          <w:i/>
          <w:spacing w:val="-2"/>
          <w:sz w:val="18"/>
          <w:szCs w:val="18"/>
        </w:rPr>
        <w:t xml:space="preserve"> </w:t>
      </w:r>
      <w:r w:rsidR="00FF3316">
        <w:rPr>
          <w:rFonts w:ascii="Arial" w:eastAsia="Arial" w:hAnsi="Arial" w:cs="Arial"/>
          <w:i/>
          <w:sz w:val="18"/>
          <w:szCs w:val="18"/>
        </w:rPr>
        <w:t>ensuring</w:t>
      </w:r>
      <w:r w:rsidR="00FF3316">
        <w:rPr>
          <w:rFonts w:ascii="Arial" w:eastAsia="Arial" w:hAnsi="Arial" w:cs="Arial"/>
          <w:i/>
          <w:spacing w:val="-2"/>
          <w:sz w:val="18"/>
          <w:szCs w:val="18"/>
        </w:rPr>
        <w:t xml:space="preserve"> </w:t>
      </w:r>
      <w:r w:rsidR="00FF3316">
        <w:rPr>
          <w:rFonts w:ascii="Arial" w:eastAsia="Arial" w:hAnsi="Arial" w:cs="Arial"/>
          <w:i/>
          <w:sz w:val="18"/>
          <w:szCs w:val="18"/>
        </w:rPr>
        <w:t>that</w:t>
      </w:r>
      <w:r w:rsidR="00FF3316">
        <w:rPr>
          <w:rFonts w:ascii="Arial" w:eastAsia="Arial" w:hAnsi="Arial" w:cs="Arial"/>
          <w:i/>
          <w:spacing w:val="-5"/>
          <w:sz w:val="18"/>
          <w:szCs w:val="18"/>
        </w:rPr>
        <w:t xml:space="preserve"> </w:t>
      </w:r>
      <w:r w:rsidR="00FF3316">
        <w:rPr>
          <w:rFonts w:ascii="Arial" w:eastAsia="Arial" w:hAnsi="Arial" w:cs="Arial"/>
          <w:i/>
          <w:sz w:val="18"/>
          <w:szCs w:val="18"/>
        </w:rPr>
        <w:t>suitably</w:t>
      </w:r>
      <w:r w:rsidR="00FF3316">
        <w:rPr>
          <w:rFonts w:ascii="Arial" w:eastAsia="Arial" w:hAnsi="Arial" w:cs="Arial"/>
          <w:i/>
          <w:spacing w:val="-4"/>
          <w:sz w:val="18"/>
          <w:szCs w:val="18"/>
        </w:rPr>
        <w:t xml:space="preserve"> </w:t>
      </w:r>
      <w:r w:rsidR="00FF3316">
        <w:rPr>
          <w:rFonts w:ascii="Arial" w:eastAsia="Arial" w:hAnsi="Arial" w:cs="Arial"/>
          <w:i/>
          <w:sz w:val="18"/>
          <w:szCs w:val="18"/>
        </w:rPr>
        <w:t>qualified</w:t>
      </w:r>
      <w:r w:rsidR="00FF3316">
        <w:rPr>
          <w:rFonts w:ascii="Arial" w:eastAsia="Arial" w:hAnsi="Arial" w:cs="Arial"/>
          <w:i/>
          <w:spacing w:val="-5"/>
          <w:sz w:val="18"/>
          <w:szCs w:val="18"/>
        </w:rPr>
        <w:t xml:space="preserve"> </w:t>
      </w:r>
      <w:r w:rsidR="00FF3316">
        <w:rPr>
          <w:rFonts w:ascii="Arial" w:eastAsia="Arial" w:hAnsi="Arial" w:cs="Arial"/>
          <w:i/>
          <w:sz w:val="18"/>
          <w:szCs w:val="18"/>
        </w:rPr>
        <w:t>and</w:t>
      </w:r>
      <w:r w:rsidR="00FF3316">
        <w:rPr>
          <w:rFonts w:ascii="Arial" w:eastAsia="Arial" w:hAnsi="Arial" w:cs="Arial"/>
          <w:i/>
          <w:spacing w:val="-5"/>
          <w:sz w:val="18"/>
          <w:szCs w:val="18"/>
        </w:rPr>
        <w:t xml:space="preserve"> </w:t>
      </w:r>
      <w:r w:rsidR="00FF3316">
        <w:rPr>
          <w:rFonts w:ascii="Arial" w:eastAsia="Arial" w:hAnsi="Arial" w:cs="Arial"/>
          <w:i/>
          <w:sz w:val="18"/>
          <w:szCs w:val="18"/>
        </w:rPr>
        <w:t>competent</w:t>
      </w:r>
      <w:r w:rsidR="00FF3316">
        <w:rPr>
          <w:rFonts w:ascii="Arial" w:eastAsia="Arial" w:hAnsi="Arial" w:cs="Arial"/>
          <w:i/>
          <w:spacing w:val="-3"/>
          <w:sz w:val="18"/>
          <w:szCs w:val="18"/>
        </w:rPr>
        <w:t xml:space="preserve"> </w:t>
      </w:r>
      <w:r w:rsidR="00FF3316">
        <w:rPr>
          <w:rFonts w:ascii="Arial" w:eastAsia="Arial" w:hAnsi="Arial" w:cs="Arial"/>
          <w:i/>
          <w:sz w:val="18"/>
          <w:szCs w:val="18"/>
        </w:rPr>
        <w:t>optometrists</w:t>
      </w:r>
      <w:r w:rsidR="00FF3316">
        <w:rPr>
          <w:rFonts w:ascii="Arial" w:eastAsia="Arial" w:hAnsi="Arial" w:cs="Arial"/>
          <w:i/>
          <w:spacing w:val="-2"/>
          <w:sz w:val="18"/>
          <w:szCs w:val="18"/>
        </w:rPr>
        <w:t xml:space="preserve"> </w:t>
      </w:r>
      <w:r w:rsidR="00FF3316">
        <w:rPr>
          <w:rFonts w:ascii="Arial" w:eastAsia="Arial" w:hAnsi="Arial" w:cs="Arial"/>
          <w:i/>
          <w:sz w:val="18"/>
          <w:szCs w:val="18"/>
        </w:rPr>
        <w:t>are</w:t>
      </w:r>
      <w:r w:rsidR="00FF3316">
        <w:rPr>
          <w:rFonts w:ascii="Arial" w:eastAsia="Arial" w:hAnsi="Arial" w:cs="Arial"/>
          <w:i/>
          <w:spacing w:val="-3"/>
          <w:sz w:val="18"/>
          <w:szCs w:val="18"/>
        </w:rPr>
        <w:t xml:space="preserve"> </w:t>
      </w:r>
      <w:r w:rsidR="00FF3316">
        <w:rPr>
          <w:rFonts w:ascii="Arial" w:eastAsia="Arial" w:hAnsi="Arial" w:cs="Arial"/>
          <w:i/>
          <w:sz w:val="18"/>
          <w:szCs w:val="18"/>
        </w:rPr>
        <w:t>registered.</w:t>
      </w:r>
      <w:r w:rsidR="00FF3316">
        <w:rPr>
          <w:rFonts w:ascii="Arial" w:eastAsia="Arial" w:hAnsi="Arial" w:cs="Arial"/>
          <w:i/>
          <w:spacing w:val="-3"/>
          <w:sz w:val="18"/>
          <w:szCs w:val="18"/>
        </w:rPr>
        <w:t xml:space="preserve"> </w:t>
      </w:r>
      <w:r w:rsidR="00FF3316">
        <w:rPr>
          <w:rFonts w:ascii="Arial" w:eastAsia="Arial" w:hAnsi="Arial" w:cs="Arial"/>
          <w:i/>
          <w:sz w:val="18"/>
          <w:szCs w:val="18"/>
        </w:rPr>
        <w:t>The</w:t>
      </w:r>
      <w:r w:rsidR="00FF3316">
        <w:rPr>
          <w:rFonts w:ascii="Arial" w:eastAsia="Arial" w:hAnsi="Arial" w:cs="Arial"/>
          <w:i/>
          <w:spacing w:val="-3"/>
          <w:sz w:val="18"/>
          <w:szCs w:val="18"/>
        </w:rPr>
        <w:t xml:space="preserve"> </w:t>
      </w:r>
      <w:r w:rsidR="00FF3316">
        <w:rPr>
          <w:rFonts w:ascii="Arial" w:eastAsia="Arial" w:hAnsi="Arial" w:cs="Arial"/>
          <w:i/>
          <w:sz w:val="18"/>
          <w:szCs w:val="18"/>
        </w:rPr>
        <w:t>Board</w:t>
      </w:r>
      <w:r w:rsidR="00FF3316">
        <w:rPr>
          <w:rFonts w:ascii="Arial" w:eastAsia="Arial" w:hAnsi="Arial" w:cs="Arial"/>
          <w:i/>
          <w:spacing w:val="-5"/>
          <w:sz w:val="18"/>
          <w:szCs w:val="18"/>
        </w:rPr>
        <w:t xml:space="preserve"> </w:t>
      </w:r>
      <w:r w:rsidR="00FF3316">
        <w:rPr>
          <w:rFonts w:ascii="Arial" w:eastAsia="Arial" w:hAnsi="Arial" w:cs="Arial"/>
          <w:i/>
          <w:sz w:val="18"/>
          <w:szCs w:val="18"/>
        </w:rPr>
        <w:t>is</w:t>
      </w:r>
      <w:r w:rsidR="00FF3316">
        <w:rPr>
          <w:rFonts w:ascii="Arial" w:eastAsia="Arial" w:hAnsi="Arial" w:cs="Arial"/>
          <w:i/>
          <w:spacing w:val="-2"/>
          <w:sz w:val="18"/>
          <w:szCs w:val="18"/>
        </w:rPr>
        <w:t xml:space="preserve"> </w:t>
      </w:r>
      <w:r w:rsidR="00FF3316">
        <w:rPr>
          <w:rFonts w:ascii="Arial" w:eastAsia="Arial" w:hAnsi="Arial" w:cs="Arial"/>
          <w:i/>
          <w:sz w:val="18"/>
          <w:szCs w:val="18"/>
        </w:rPr>
        <w:t>responsible</w:t>
      </w:r>
      <w:r w:rsidR="00FF3316">
        <w:rPr>
          <w:rFonts w:ascii="Arial" w:eastAsia="Arial" w:hAnsi="Arial" w:cs="Arial"/>
          <w:i/>
          <w:spacing w:val="-3"/>
          <w:sz w:val="18"/>
          <w:szCs w:val="18"/>
        </w:rPr>
        <w:t xml:space="preserve"> </w:t>
      </w:r>
      <w:r w:rsidR="00FF3316">
        <w:rPr>
          <w:rFonts w:ascii="Arial" w:eastAsia="Arial" w:hAnsi="Arial" w:cs="Arial"/>
          <w:i/>
          <w:sz w:val="18"/>
          <w:szCs w:val="18"/>
        </w:rPr>
        <w:t>for</w:t>
      </w:r>
      <w:r w:rsidR="00FF3316">
        <w:rPr>
          <w:rFonts w:ascii="Arial" w:eastAsia="Arial" w:hAnsi="Arial" w:cs="Arial"/>
          <w:i/>
          <w:spacing w:val="-5"/>
          <w:sz w:val="18"/>
          <w:szCs w:val="18"/>
        </w:rPr>
        <w:t xml:space="preserve"> </w:t>
      </w:r>
      <w:r w:rsidR="00FF3316">
        <w:rPr>
          <w:rFonts w:ascii="Arial" w:eastAsia="Arial" w:hAnsi="Arial" w:cs="Arial"/>
          <w:i/>
          <w:sz w:val="18"/>
          <w:szCs w:val="18"/>
        </w:rPr>
        <w:t>developing</w:t>
      </w:r>
      <w:r w:rsidR="00FF3316">
        <w:rPr>
          <w:rFonts w:ascii="Arial" w:eastAsia="Arial" w:hAnsi="Arial" w:cs="Arial"/>
          <w:i/>
          <w:spacing w:val="-3"/>
          <w:sz w:val="18"/>
          <w:szCs w:val="18"/>
        </w:rPr>
        <w:t xml:space="preserve"> </w:t>
      </w:r>
      <w:r w:rsidR="00FF3316">
        <w:rPr>
          <w:rFonts w:ascii="Arial" w:eastAsia="Arial" w:hAnsi="Arial" w:cs="Arial"/>
          <w:i/>
          <w:sz w:val="18"/>
          <w:szCs w:val="18"/>
        </w:rPr>
        <w:t>registration</w:t>
      </w:r>
      <w:r w:rsidR="00FF3316">
        <w:rPr>
          <w:rFonts w:ascii="Arial" w:eastAsia="Arial" w:hAnsi="Arial" w:cs="Arial"/>
          <w:i/>
          <w:spacing w:val="-2"/>
          <w:sz w:val="18"/>
          <w:szCs w:val="18"/>
        </w:rPr>
        <w:t xml:space="preserve"> </w:t>
      </w:r>
      <w:r w:rsidR="00FF3316">
        <w:rPr>
          <w:rFonts w:ascii="Arial" w:eastAsia="Arial" w:hAnsi="Arial" w:cs="Arial"/>
          <w:i/>
          <w:sz w:val="18"/>
          <w:szCs w:val="18"/>
        </w:rPr>
        <w:t>standards, codes and guideline</w:t>
      </w:r>
      <w:r w:rsidR="00736D50">
        <w:rPr>
          <w:rFonts w:ascii="Arial" w:eastAsia="Arial" w:hAnsi="Arial" w:cs="Arial"/>
          <w:i/>
          <w:sz w:val="18"/>
          <w:szCs w:val="18"/>
        </w:rPr>
        <w:t>s</w:t>
      </w:r>
      <w:r w:rsidR="00FF3316">
        <w:rPr>
          <w:rFonts w:ascii="Arial" w:eastAsia="Arial" w:hAnsi="Arial" w:cs="Arial"/>
          <w:i/>
          <w:sz w:val="18"/>
          <w:szCs w:val="18"/>
        </w:rPr>
        <w:t xml:space="preserve"> for optometrists and managing notifications (complaints)* about optometris</w:t>
      </w:r>
      <w:r w:rsidR="00736D50">
        <w:rPr>
          <w:rFonts w:ascii="Arial" w:eastAsia="Arial" w:hAnsi="Arial" w:cs="Arial"/>
          <w:i/>
          <w:spacing w:val="1"/>
          <w:sz w:val="18"/>
          <w:szCs w:val="18"/>
        </w:rPr>
        <w:t>ts</w:t>
      </w:r>
      <w:r w:rsidR="00FF3316">
        <w:rPr>
          <w:rFonts w:ascii="Arial" w:eastAsia="Arial" w:hAnsi="Arial" w:cs="Arial"/>
          <w:i/>
          <w:sz w:val="18"/>
          <w:szCs w:val="18"/>
        </w:rPr>
        <w:t xml:space="preserve"> and optometry students.</w:t>
      </w:r>
      <w:r w:rsidR="00736D50">
        <w:rPr>
          <w:rFonts w:ascii="Arial" w:eastAsia="Arial" w:hAnsi="Arial" w:cs="Arial"/>
          <w:i/>
          <w:sz w:val="18"/>
          <w:szCs w:val="18"/>
        </w:rPr>
        <w:t xml:space="preserve"> </w:t>
      </w:r>
      <w:r w:rsidR="00FF3316">
        <w:rPr>
          <w:rFonts w:ascii="Arial" w:eastAsia="Arial" w:hAnsi="Arial" w:cs="Arial"/>
          <w:i/>
          <w:sz w:val="18"/>
          <w:szCs w:val="18"/>
        </w:rPr>
        <w:t>The Board does this through its powers under the Health Practitioner Regulation</w:t>
      </w:r>
      <w:r w:rsidR="00FF3316">
        <w:rPr>
          <w:rFonts w:ascii="Arial" w:eastAsia="Arial" w:hAnsi="Arial" w:cs="Arial"/>
          <w:i/>
          <w:spacing w:val="-33"/>
          <w:sz w:val="18"/>
          <w:szCs w:val="18"/>
        </w:rPr>
        <w:t xml:space="preserve"> </w:t>
      </w:r>
      <w:r w:rsidR="00FF3316">
        <w:rPr>
          <w:rFonts w:ascii="Arial" w:eastAsia="Arial" w:hAnsi="Arial" w:cs="Arial"/>
          <w:i/>
          <w:sz w:val="18"/>
          <w:szCs w:val="18"/>
        </w:rPr>
        <w:t>National Law, as in  force in each state and  territory, and the National  Registration and Accreditation</w:t>
      </w:r>
      <w:r w:rsidR="00FF3316">
        <w:rPr>
          <w:rFonts w:ascii="Arial" w:eastAsia="Arial" w:hAnsi="Arial" w:cs="Arial"/>
          <w:i/>
          <w:spacing w:val="-19"/>
          <w:sz w:val="18"/>
          <w:szCs w:val="18"/>
        </w:rPr>
        <w:t xml:space="preserve"> </w:t>
      </w:r>
      <w:r w:rsidR="00FF3316">
        <w:rPr>
          <w:rFonts w:ascii="Arial" w:eastAsia="Arial" w:hAnsi="Arial" w:cs="Arial"/>
          <w:i/>
          <w:sz w:val="18"/>
          <w:szCs w:val="18"/>
        </w:rPr>
        <w:t>Scheme, supported by the Australian Health Practitioner Regulation Agency (AHPRA). The Board’s work in</w:t>
      </w:r>
      <w:r w:rsidR="00FF3316">
        <w:rPr>
          <w:rFonts w:ascii="Arial" w:eastAsia="Arial" w:hAnsi="Arial" w:cs="Arial"/>
          <w:i/>
          <w:spacing w:val="-17"/>
          <w:sz w:val="18"/>
          <w:szCs w:val="18"/>
        </w:rPr>
        <w:t xml:space="preserve"> </w:t>
      </w:r>
      <w:r w:rsidR="00FF3316">
        <w:rPr>
          <w:rFonts w:ascii="Arial" w:eastAsia="Arial" w:hAnsi="Arial" w:cs="Arial"/>
          <w:i/>
          <w:sz w:val="18"/>
          <w:szCs w:val="18"/>
        </w:rPr>
        <w:t xml:space="preserve">regulating Australia’s optometrists in the public interest is underpinned by </w:t>
      </w:r>
      <w:hyperlink r:id="rId31">
        <w:r w:rsidR="00FF3316">
          <w:rPr>
            <w:rFonts w:ascii="Arial" w:eastAsia="Arial" w:hAnsi="Arial" w:cs="Arial"/>
            <w:i/>
            <w:color w:val="0000FF"/>
            <w:sz w:val="18"/>
            <w:szCs w:val="18"/>
            <w:u w:val="single" w:color="0000FF"/>
          </w:rPr>
          <w:t>regulatory principles</w:t>
        </w:r>
        <w:r w:rsidR="00FF3316">
          <w:rPr>
            <w:rFonts w:ascii="Arial" w:eastAsia="Arial" w:hAnsi="Arial" w:cs="Arial"/>
            <w:i/>
            <w:sz w:val="18"/>
            <w:szCs w:val="18"/>
          </w:rPr>
          <w:t>,</w:t>
        </w:r>
      </w:hyperlink>
      <w:r w:rsidR="00FF3316">
        <w:rPr>
          <w:rFonts w:ascii="Arial" w:eastAsia="Arial" w:hAnsi="Arial" w:cs="Arial"/>
          <w:i/>
          <w:sz w:val="18"/>
          <w:szCs w:val="18"/>
        </w:rPr>
        <w:t xml:space="preserve"> which encourage a</w:t>
      </w:r>
      <w:r w:rsidR="00FF3316">
        <w:rPr>
          <w:rFonts w:ascii="Arial" w:eastAsia="Arial" w:hAnsi="Arial" w:cs="Arial"/>
          <w:i/>
          <w:spacing w:val="-33"/>
          <w:sz w:val="18"/>
          <w:szCs w:val="18"/>
        </w:rPr>
        <w:t xml:space="preserve"> </w:t>
      </w:r>
      <w:r w:rsidR="00FF3316">
        <w:rPr>
          <w:rFonts w:ascii="Arial" w:eastAsia="Arial" w:hAnsi="Arial" w:cs="Arial"/>
          <w:i/>
          <w:sz w:val="18"/>
          <w:szCs w:val="18"/>
        </w:rPr>
        <w:t>responsive, risk-based approach to</w:t>
      </w:r>
      <w:r w:rsidR="00FF3316">
        <w:rPr>
          <w:rFonts w:ascii="Arial" w:eastAsia="Arial" w:hAnsi="Arial" w:cs="Arial"/>
          <w:i/>
          <w:spacing w:val="-14"/>
          <w:sz w:val="18"/>
          <w:szCs w:val="18"/>
        </w:rPr>
        <w:t xml:space="preserve"> </w:t>
      </w:r>
      <w:r w:rsidR="00FF3316">
        <w:rPr>
          <w:rFonts w:ascii="Arial" w:eastAsia="Arial" w:hAnsi="Arial" w:cs="Arial"/>
          <w:i/>
          <w:sz w:val="18"/>
          <w:szCs w:val="18"/>
        </w:rPr>
        <w:t>regulation.</w:t>
      </w:r>
    </w:p>
    <w:p w:rsidR="00736D50" w:rsidRDefault="00736D50" w:rsidP="00454B93">
      <w:pPr>
        <w:rPr>
          <w:rFonts w:ascii="Arial"/>
          <w:i/>
          <w:sz w:val="18"/>
        </w:rPr>
      </w:pPr>
    </w:p>
    <w:p w:rsidR="00BE70F2" w:rsidRDefault="00FF3316" w:rsidP="00454B93">
      <w:pPr>
        <w:rPr>
          <w:rFonts w:ascii="Arial" w:eastAsia="Arial" w:hAnsi="Arial" w:cs="Arial"/>
          <w:sz w:val="18"/>
          <w:szCs w:val="18"/>
        </w:rPr>
      </w:pPr>
      <w:r>
        <w:rPr>
          <w:rFonts w:ascii="Arial"/>
          <w:i/>
          <w:sz w:val="18"/>
        </w:rPr>
        <w:t>*Except in NSW and Qld which have co-regulatory</w:t>
      </w:r>
      <w:r>
        <w:rPr>
          <w:rFonts w:ascii="Arial"/>
          <w:i/>
          <w:spacing w:val="-19"/>
          <w:sz w:val="18"/>
        </w:rPr>
        <w:t xml:space="preserve"> </w:t>
      </w:r>
      <w:r>
        <w:rPr>
          <w:rFonts w:ascii="Arial"/>
          <w:i/>
          <w:sz w:val="18"/>
        </w:rPr>
        <w:t>arrangements.</w:t>
      </w:r>
    </w:p>
    <w:sectPr w:rsidR="00BE70F2">
      <w:footerReference w:type="default" r:id="rId32"/>
      <w:pgSz w:w="11900" w:h="16850"/>
      <w:pgMar w:top="1300" w:right="1140" w:bottom="1060" w:left="114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A74" w:rsidRDefault="00A75A74">
      <w:r>
        <w:separator/>
      </w:r>
    </w:p>
  </w:endnote>
  <w:endnote w:type="continuationSeparator" w:id="0">
    <w:p w:rsidR="00A75A74" w:rsidRDefault="00A7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3C" w:rsidRDefault="00C55B3C">
    <w:pPr>
      <w:spacing w:line="14" w:lineRule="auto"/>
      <w:rPr>
        <w:sz w:val="20"/>
        <w:szCs w:val="20"/>
      </w:rPr>
    </w:pPr>
  </w:p>
  <w:p w:rsidR="00BE70F2" w:rsidRDefault="00E40DA7">
    <w:pPr>
      <w:spacing w:line="14" w:lineRule="auto"/>
      <w:rPr>
        <w:sz w:val="20"/>
        <w:szCs w:val="20"/>
      </w:rPr>
    </w:pPr>
    <w:r>
      <w:rPr>
        <w:noProof/>
      </w:rPr>
      <mc:AlternateContent>
        <mc:Choice Requires="wps">
          <w:drawing>
            <wp:anchor distT="0" distB="0" distL="114300" distR="114300" simplePos="0" relativeHeight="503309288" behindDoc="1" locked="0" layoutInCell="1" allowOverlap="1">
              <wp:simplePos x="0" y="0"/>
              <wp:positionH relativeFrom="page">
                <wp:posOffset>779780</wp:posOffset>
              </wp:positionH>
              <wp:positionV relativeFrom="page">
                <wp:posOffset>9997440</wp:posOffset>
              </wp:positionV>
              <wp:extent cx="2619375" cy="1397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3C" w:rsidRDefault="00FF3316">
                          <w:pPr>
                            <w:spacing w:line="204" w:lineRule="exact"/>
                            <w:ind w:left="20"/>
                            <w:rPr>
                              <w:rFonts w:ascii="Arial" w:eastAsia="Arial" w:hAnsi="Arial" w:cs="Arial"/>
                              <w:color w:val="5F5F61"/>
                              <w:spacing w:val="-4"/>
                              <w:sz w:val="18"/>
                              <w:szCs w:val="18"/>
                            </w:rPr>
                          </w:pPr>
                          <w:r>
                            <w:rPr>
                              <w:rFonts w:ascii="Arial" w:eastAsia="Arial" w:hAnsi="Arial" w:cs="Arial"/>
                              <w:color w:val="5F5F61"/>
                              <w:spacing w:val="-1"/>
                              <w:sz w:val="18"/>
                              <w:szCs w:val="18"/>
                            </w:rPr>
                            <w:t>C</w:t>
                          </w:r>
                          <w:r>
                            <w:rPr>
                              <w:rFonts w:ascii="Arial" w:eastAsia="Arial" w:hAnsi="Arial" w:cs="Arial"/>
                              <w:color w:val="5F5F61"/>
                              <w:sz w:val="18"/>
                              <w:szCs w:val="18"/>
                            </w:rPr>
                            <w:t>o</w:t>
                          </w:r>
                          <w:r>
                            <w:rPr>
                              <w:rFonts w:ascii="Arial" w:eastAsia="Arial" w:hAnsi="Arial" w:cs="Arial"/>
                              <w:color w:val="5F5F61"/>
                              <w:spacing w:val="1"/>
                              <w:sz w:val="18"/>
                              <w:szCs w:val="18"/>
                            </w:rPr>
                            <w:t>mm</w:t>
                          </w:r>
                          <w:r>
                            <w:rPr>
                              <w:rFonts w:ascii="Arial" w:eastAsia="Arial" w:hAnsi="Arial" w:cs="Arial"/>
                              <w:color w:val="5F5F61"/>
                              <w:spacing w:val="-2"/>
                              <w:sz w:val="18"/>
                              <w:szCs w:val="18"/>
                            </w:rPr>
                            <w:t>u</w:t>
                          </w:r>
                          <w:r>
                            <w:rPr>
                              <w:rFonts w:ascii="Arial" w:eastAsia="Arial" w:hAnsi="Arial" w:cs="Arial"/>
                              <w:color w:val="5F5F61"/>
                              <w:sz w:val="18"/>
                              <w:szCs w:val="18"/>
                            </w:rPr>
                            <w:t>ni</w:t>
                          </w:r>
                          <w:r>
                            <w:rPr>
                              <w:rFonts w:ascii="Arial" w:eastAsia="Arial" w:hAnsi="Arial" w:cs="Arial"/>
                              <w:color w:val="5F5F61"/>
                              <w:spacing w:val="-2"/>
                              <w:sz w:val="18"/>
                              <w:szCs w:val="18"/>
                            </w:rPr>
                            <w:t>q</w:t>
                          </w:r>
                          <w:r>
                            <w:rPr>
                              <w:rFonts w:ascii="Arial" w:eastAsia="Arial" w:hAnsi="Arial" w:cs="Arial"/>
                              <w:color w:val="5F5F61"/>
                              <w:sz w:val="18"/>
                              <w:szCs w:val="18"/>
                            </w:rPr>
                            <w:t>ué</w:t>
                          </w:r>
                          <w:r w:rsidR="00454B93">
                            <w:rPr>
                              <w:rFonts w:ascii="Arial" w:eastAsia="Arial" w:hAnsi="Arial" w:cs="Arial"/>
                              <w:color w:val="5F5F61"/>
                              <w:spacing w:val="1"/>
                              <w:sz w:val="18"/>
                              <w:szCs w:val="18"/>
                            </w:rPr>
                            <w:t>:</w:t>
                          </w:r>
                          <w:r>
                            <w:rPr>
                              <w:rFonts w:ascii="Arial" w:eastAsia="Arial" w:hAnsi="Arial" w:cs="Arial"/>
                              <w:color w:val="5F5F61"/>
                              <w:spacing w:val="-2"/>
                              <w:sz w:val="18"/>
                              <w:szCs w:val="18"/>
                            </w:rPr>
                            <w:t xml:space="preserve"> </w:t>
                          </w:r>
                          <w:r w:rsidR="00C55B3C">
                            <w:rPr>
                              <w:rFonts w:ascii="Arial" w:eastAsia="Arial" w:hAnsi="Arial" w:cs="Arial"/>
                              <w:color w:val="5F5F61"/>
                              <w:spacing w:val="-4"/>
                              <w:sz w:val="18"/>
                              <w:szCs w:val="18"/>
                            </w:rPr>
                            <w:t>July</w:t>
                          </w:r>
                          <w:r w:rsidR="00454B93">
                            <w:rPr>
                              <w:rFonts w:ascii="Arial" w:eastAsia="Arial" w:hAnsi="Arial" w:cs="Arial"/>
                              <w:color w:val="5F5F61"/>
                              <w:spacing w:val="-4"/>
                              <w:sz w:val="18"/>
                              <w:szCs w:val="18"/>
                            </w:rPr>
                            <w:t>–</w:t>
                          </w:r>
                          <w:r w:rsidR="00C55B3C">
                            <w:rPr>
                              <w:rFonts w:ascii="Arial" w:eastAsia="Arial" w:hAnsi="Arial" w:cs="Arial"/>
                              <w:color w:val="5F5F61"/>
                              <w:spacing w:val="-4"/>
                              <w:sz w:val="18"/>
                              <w:szCs w:val="18"/>
                            </w:rPr>
                            <w:t>September 2019 meetings</w:t>
                          </w:r>
                        </w:p>
                        <w:p w:rsidR="00BE70F2" w:rsidRDefault="00FF3316">
                          <w:pPr>
                            <w:spacing w:line="204" w:lineRule="exact"/>
                            <w:ind w:left="20"/>
                            <w:rPr>
                              <w:rFonts w:ascii="Arial" w:eastAsia="Arial" w:hAnsi="Arial" w:cs="Arial"/>
                              <w:sz w:val="18"/>
                              <w:szCs w:val="18"/>
                            </w:rPr>
                          </w:pPr>
                          <w:r>
                            <w:rPr>
                              <w:rFonts w:ascii="Arial" w:eastAsia="Arial" w:hAnsi="Arial" w:cs="Arial"/>
                              <w:color w:val="5F5F61"/>
                              <w:spacing w:val="1"/>
                              <w:sz w:val="18"/>
                              <w:szCs w:val="18"/>
                            </w:rPr>
                            <w:t xml:space="preserve"> </w:t>
                          </w:r>
                          <w:r>
                            <w:rPr>
                              <w:rFonts w:ascii="Arial" w:eastAsia="Arial" w:hAnsi="Arial" w:cs="Arial"/>
                              <w:color w:val="5F5F61"/>
                              <w:spacing w:val="-2"/>
                              <w:sz w:val="18"/>
                              <w:szCs w:val="18"/>
                            </w:rPr>
                            <w:t>m</w:t>
                          </w:r>
                          <w:r>
                            <w:rPr>
                              <w:rFonts w:ascii="Arial" w:eastAsia="Arial" w:hAnsi="Arial" w:cs="Arial"/>
                              <w:color w:val="5F5F61"/>
                              <w:sz w:val="18"/>
                              <w:szCs w:val="18"/>
                            </w:rPr>
                            <w:t>ee</w:t>
                          </w:r>
                          <w:r>
                            <w:rPr>
                              <w:rFonts w:ascii="Arial" w:eastAsia="Arial" w:hAnsi="Arial" w:cs="Arial"/>
                              <w:color w:val="5F5F61"/>
                              <w:spacing w:val="-2"/>
                              <w:sz w:val="18"/>
                              <w:szCs w:val="18"/>
                            </w:rPr>
                            <w:t>t</w:t>
                          </w:r>
                          <w:r>
                            <w:rPr>
                              <w:rFonts w:ascii="Arial" w:eastAsia="Arial" w:hAnsi="Arial" w:cs="Arial"/>
                              <w:color w:val="5F5F61"/>
                              <w:sz w:val="18"/>
                              <w:szCs w:val="18"/>
                            </w:rPr>
                            <w:t>in</w:t>
                          </w:r>
                          <w:r>
                            <w:rPr>
                              <w:rFonts w:ascii="Arial" w:eastAsia="Arial" w:hAnsi="Arial" w:cs="Arial"/>
                              <w:color w:val="5F5F61"/>
                              <w:spacing w:val="-2"/>
                              <w:sz w:val="18"/>
                              <w:szCs w:val="18"/>
                            </w:rPr>
                            <w:t>g</w:t>
                          </w:r>
                          <w:r>
                            <w:rPr>
                              <w:rFonts w:ascii="Arial" w:eastAsia="Arial" w:hAnsi="Arial" w:cs="Arial"/>
                              <w:color w:val="5F5F61"/>
                              <w:sz w:val="18"/>
                              <w:szCs w:val="1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4pt;margin-top:787.2pt;width:206.25pt;height:11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n3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OZhcrmYYVTCWXiZLALXOp+k0+1OafOByhZZ&#10;I8MKOu/QyeFOG8uGpJOLDSZkwTh33efixQY4jjsQG67aM8vCNfMpCZLNcrOMvTiab7w4yHPvpljH&#10;3rwIF7P8Ml+v8/CXjRvGacOqigobZhJWGP9Z444SHyVxkpaWnFUWzlLSarddc4UOBIRduM/VHE7O&#10;bv5LGq4IkMurlMIoDm6jxCvmy4UXF/HMg/IuvSBMbpN5ECdxXrxM6Y4J+u8poT7DySyajWI6k36V&#10;W+C+t7mRtGUGRgdnbYaXJyeSWgluROVaawjjo/2sFJb+uRTQ7qnRTrBWo6NazbAdAMWqeCurR5Cu&#10;kqAs0CfMOzAaqX5i1MPsyLD+sSeKYsQ/CpC/HTSToSZjOxlElHA1wwaj0VybcSDtO8V2DSCPD0zI&#10;G3giNXPqPbM4PiyYBy6J4+yyA+f5v/M6T9jVbwAAAP//AwBQSwMEFAAGAAgAAAAhAFaeqpXiAAAA&#10;DQEAAA8AAABkcnMvZG93bnJldi54bWxMj8FOwzAQRO9I/IO1SNyoQ5qENsSpKgQnJEQaDj06sZtY&#10;jdchdtvw92xPcNvZHc2+KTazHdhZT944FPC4iIBpbJ0y2An4qt8eVsB8kKjk4FAL+NEeNuXtTSFz&#10;5S5Y6fMudIxC0OdSQB/CmHPu215b6Rdu1Ei3g5usDCSnjqtJXijcDjyOooxbaZA+9HLUL71uj7uT&#10;FbDdY/Vqvj+az+pQmbpeR/ieHYW4v5u3z8CCnsOfGa74hA4lMTXuhMqzgXQcE3qgIX1KEmBkSZfp&#10;ElhzXa2zBHhZ8P8tyl8AAAD//wMAUEsBAi0AFAAGAAgAAAAhALaDOJL+AAAA4QEAABMAAAAAAAAA&#10;AAAAAAAAAAAAAFtDb250ZW50X1R5cGVzXS54bWxQSwECLQAUAAYACAAAACEAOP0h/9YAAACUAQAA&#10;CwAAAAAAAAAAAAAAAAAvAQAAX3JlbHMvLnJlbHNQSwECLQAUAAYACAAAACEAE45Z968CAACpBQAA&#10;DgAAAAAAAAAAAAAAAAAuAgAAZHJzL2Uyb0RvYy54bWxQSwECLQAUAAYACAAAACEAVp6qleIAAAAN&#10;AQAADwAAAAAAAAAAAAAAAAAJBQAAZHJzL2Rvd25yZXYueG1sUEsFBgAAAAAEAAQA8wAAABgGAAAA&#10;AA==&#10;" filled="f" stroked="f">
              <v:textbox inset="0,0,0,0">
                <w:txbxContent>
                  <w:p w:rsidR="00C55B3C" w:rsidRDefault="00FF3316">
                    <w:pPr>
                      <w:spacing w:line="204" w:lineRule="exact"/>
                      <w:ind w:left="20"/>
                      <w:rPr>
                        <w:rFonts w:ascii="Arial" w:eastAsia="Arial" w:hAnsi="Arial" w:cs="Arial"/>
                        <w:color w:val="5F5F61"/>
                        <w:spacing w:val="-4"/>
                        <w:sz w:val="18"/>
                        <w:szCs w:val="18"/>
                      </w:rPr>
                    </w:pPr>
                    <w:r>
                      <w:rPr>
                        <w:rFonts w:ascii="Arial" w:eastAsia="Arial" w:hAnsi="Arial" w:cs="Arial"/>
                        <w:color w:val="5F5F61"/>
                        <w:spacing w:val="-1"/>
                        <w:sz w:val="18"/>
                        <w:szCs w:val="18"/>
                      </w:rPr>
                      <w:t>C</w:t>
                    </w:r>
                    <w:r>
                      <w:rPr>
                        <w:rFonts w:ascii="Arial" w:eastAsia="Arial" w:hAnsi="Arial" w:cs="Arial"/>
                        <w:color w:val="5F5F61"/>
                        <w:sz w:val="18"/>
                        <w:szCs w:val="18"/>
                      </w:rPr>
                      <w:t>o</w:t>
                    </w:r>
                    <w:r>
                      <w:rPr>
                        <w:rFonts w:ascii="Arial" w:eastAsia="Arial" w:hAnsi="Arial" w:cs="Arial"/>
                        <w:color w:val="5F5F61"/>
                        <w:spacing w:val="1"/>
                        <w:sz w:val="18"/>
                        <w:szCs w:val="18"/>
                      </w:rPr>
                      <w:t>mm</w:t>
                    </w:r>
                    <w:r>
                      <w:rPr>
                        <w:rFonts w:ascii="Arial" w:eastAsia="Arial" w:hAnsi="Arial" w:cs="Arial"/>
                        <w:color w:val="5F5F61"/>
                        <w:spacing w:val="-2"/>
                        <w:sz w:val="18"/>
                        <w:szCs w:val="18"/>
                      </w:rPr>
                      <w:t>u</w:t>
                    </w:r>
                    <w:r>
                      <w:rPr>
                        <w:rFonts w:ascii="Arial" w:eastAsia="Arial" w:hAnsi="Arial" w:cs="Arial"/>
                        <w:color w:val="5F5F61"/>
                        <w:sz w:val="18"/>
                        <w:szCs w:val="18"/>
                      </w:rPr>
                      <w:t>ni</w:t>
                    </w:r>
                    <w:r>
                      <w:rPr>
                        <w:rFonts w:ascii="Arial" w:eastAsia="Arial" w:hAnsi="Arial" w:cs="Arial"/>
                        <w:color w:val="5F5F61"/>
                        <w:spacing w:val="-2"/>
                        <w:sz w:val="18"/>
                        <w:szCs w:val="18"/>
                      </w:rPr>
                      <w:t>q</w:t>
                    </w:r>
                    <w:r>
                      <w:rPr>
                        <w:rFonts w:ascii="Arial" w:eastAsia="Arial" w:hAnsi="Arial" w:cs="Arial"/>
                        <w:color w:val="5F5F61"/>
                        <w:sz w:val="18"/>
                        <w:szCs w:val="18"/>
                      </w:rPr>
                      <w:t>ué</w:t>
                    </w:r>
                    <w:r w:rsidR="00454B93">
                      <w:rPr>
                        <w:rFonts w:ascii="Arial" w:eastAsia="Arial" w:hAnsi="Arial" w:cs="Arial"/>
                        <w:color w:val="5F5F61"/>
                        <w:spacing w:val="1"/>
                        <w:sz w:val="18"/>
                        <w:szCs w:val="18"/>
                      </w:rPr>
                      <w:t>:</w:t>
                    </w:r>
                    <w:r>
                      <w:rPr>
                        <w:rFonts w:ascii="Arial" w:eastAsia="Arial" w:hAnsi="Arial" w:cs="Arial"/>
                        <w:color w:val="5F5F61"/>
                        <w:spacing w:val="-2"/>
                        <w:sz w:val="18"/>
                        <w:szCs w:val="18"/>
                      </w:rPr>
                      <w:t xml:space="preserve"> </w:t>
                    </w:r>
                    <w:r w:rsidR="00C55B3C">
                      <w:rPr>
                        <w:rFonts w:ascii="Arial" w:eastAsia="Arial" w:hAnsi="Arial" w:cs="Arial"/>
                        <w:color w:val="5F5F61"/>
                        <w:spacing w:val="-4"/>
                        <w:sz w:val="18"/>
                        <w:szCs w:val="18"/>
                      </w:rPr>
                      <w:t>July</w:t>
                    </w:r>
                    <w:r w:rsidR="00454B93">
                      <w:rPr>
                        <w:rFonts w:ascii="Arial" w:eastAsia="Arial" w:hAnsi="Arial" w:cs="Arial"/>
                        <w:color w:val="5F5F61"/>
                        <w:spacing w:val="-4"/>
                        <w:sz w:val="18"/>
                        <w:szCs w:val="18"/>
                      </w:rPr>
                      <w:t>–</w:t>
                    </w:r>
                    <w:r w:rsidR="00C55B3C">
                      <w:rPr>
                        <w:rFonts w:ascii="Arial" w:eastAsia="Arial" w:hAnsi="Arial" w:cs="Arial"/>
                        <w:color w:val="5F5F61"/>
                        <w:spacing w:val="-4"/>
                        <w:sz w:val="18"/>
                        <w:szCs w:val="18"/>
                      </w:rPr>
                      <w:t>September 2019 meetings</w:t>
                    </w:r>
                  </w:p>
                  <w:p w:rsidR="00BE70F2" w:rsidRDefault="00FF3316">
                    <w:pPr>
                      <w:spacing w:line="204" w:lineRule="exact"/>
                      <w:ind w:left="20"/>
                      <w:rPr>
                        <w:rFonts w:ascii="Arial" w:eastAsia="Arial" w:hAnsi="Arial" w:cs="Arial"/>
                        <w:sz w:val="18"/>
                        <w:szCs w:val="18"/>
                      </w:rPr>
                    </w:pPr>
                    <w:r>
                      <w:rPr>
                        <w:rFonts w:ascii="Arial" w:eastAsia="Arial" w:hAnsi="Arial" w:cs="Arial"/>
                        <w:color w:val="5F5F61"/>
                        <w:spacing w:val="1"/>
                        <w:sz w:val="18"/>
                        <w:szCs w:val="18"/>
                      </w:rPr>
                      <w:t xml:space="preserve"> </w:t>
                    </w:r>
                    <w:r>
                      <w:rPr>
                        <w:rFonts w:ascii="Arial" w:eastAsia="Arial" w:hAnsi="Arial" w:cs="Arial"/>
                        <w:color w:val="5F5F61"/>
                        <w:spacing w:val="-2"/>
                        <w:sz w:val="18"/>
                        <w:szCs w:val="18"/>
                      </w:rPr>
                      <w:t>m</w:t>
                    </w:r>
                    <w:r>
                      <w:rPr>
                        <w:rFonts w:ascii="Arial" w:eastAsia="Arial" w:hAnsi="Arial" w:cs="Arial"/>
                        <w:color w:val="5F5F61"/>
                        <w:sz w:val="18"/>
                        <w:szCs w:val="18"/>
                      </w:rPr>
                      <w:t>ee</w:t>
                    </w:r>
                    <w:r>
                      <w:rPr>
                        <w:rFonts w:ascii="Arial" w:eastAsia="Arial" w:hAnsi="Arial" w:cs="Arial"/>
                        <w:color w:val="5F5F61"/>
                        <w:spacing w:val="-2"/>
                        <w:sz w:val="18"/>
                        <w:szCs w:val="18"/>
                      </w:rPr>
                      <w:t>t</w:t>
                    </w:r>
                    <w:r>
                      <w:rPr>
                        <w:rFonts w:ascii="Arial" w:eastAsia="Arial" w:hAnsi="Arial" w:cs="Arial"/>
                        <w:color w:val="5F5F61"/>
                        <w:sz w:val="18"/>
                        <w:szCs w:val="18"/>
                      </w:rPr>
                      <w:t>in</w:t>
                    </w:r>
                    <w:r>
                      <w:rPr>
                        <w:rFonts w:ascii="Arial" w:eastAsia="Arial" w:hAnsi="Arial" w:cs="Arial"/>
                        <w:color w:val="5F5F61"/>
                        <w:spacing w:val="-2"/>
                        <w:sz w:val="18"/>
                        <w:szCs w:val="18"/>
                      </w:rPr>
                      <w:t>g</w:t>
                    </w:r>
                    <w:r>
                      <w:rPr>
                        <w:rFonts w:ascii="Arial" w:eastAsia="Arial" w:hAnsi="Arial" w:cs="Arial"/>
                        <w:color w:val="5F5F61"/>
                        <w:sz w:val="18"/>
                        <w:szCs w:val="18"/>
                      </w:rPr>
                      <w:t>s</w:t>
                    </w:r>
                  </w:p>
                </w:txbxContent>
              </v:textbox>
              <w10:wrap anchorx="page" anchory="page"/>
            </v:shape>
          </w:pict>
        </mc:Fallback>
      </mc:AlternateContent>
    </w:r>
    <w:r>
      <w:rPr>
        <w:noProof/>
      </w:rPr>
      <mc:AlternateContent>
        <mc:Choice Requires="wps">
          <w:drawing>
            <wp:anchor distT="0" distB="0" distL="114300" distR="114300" simplePos="0" relativeHeight="503309312" behindDoc="1" locked="0" layoutInCell="1" allowOverlap="1">
              <wp:simplePos x="0" y="0"/>
              <wp:positionH relativeFrom="page">
                <wp:posOffset>6168390</wp:posOffset>
              </wp:positionH>
              <wp:positionV relativeFrom="page">
                <wp:posOffset>10130155</wp:posOffset>
              </wp:positionV>
              <wp:extent cx="612140" cy="1397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0F2" w:rsidRDefault="00FF3316">
                          <w:pPr>
                            <w:spacing w:line="204" w:lineRule="exact"/>
                            <w:ind w:left="20"/>
                            <w:rPr>
                              <w:rFonts w:ascii="Arial" w:eastAsia="Arial" w:hAnsi="Arial" w:cs="Arial"/>
                              <w:sz w:val="18"/>
                              <w:szCs w:val="18"/>
                            </w:rPr>
                          </w:pPr>
                          <w:r>
                            <w:rPr>
                              <w:rFonts w:ascii="Arial"/>
                              <w:color w:val="5F5F61"/>
                              <w:sz w:val="18"/>
                            </w:rPr>
                            <w:t>Page</w:t>
                          </w:r>
                          <w:r>
                            <w:rPr>
                              <w:rFonts w:ascii="Arial"/>
                              <w:color w:val="5F5F61"/>
                              <w:spacing w:val="1"/>
                              <w:sz w:val="18"/>
                            </w:rPr>
                            <w:t xml:space="preserve"> </w:t>
                          </w:r>
                          <w:r>
                            <w:fldChar w:fldCharType="begin"/>
                          </w:r>
                          <w:r>
                            <w:rPr>
                              <w:rFonts w:ascii="Arial"/>
                              <w:color w:val="5F5F61"/>
                              <w:sz w:val="18"/>
                            </w:rPr>
                            <w:instrText xml:space="preserve"> PAGE </w:instrText>
                          </w:r>
                          <w:r>
                            <w:fldChar w:fldCharType="separate"/>
                          </w:r>
                          <w:r>
                            <w:t>2</w:t>
                          </w:r>
                          <w:r>
                            <w:fldChar w:fldCharType="end"/>
                          </w:r>
                          <w:r>
                            <w:rPr>
                              <w:rFonts w:ascii="Arial"/>
                              <w:color w:val="5F5F61"/>
                              <w:spacing w:val="-2"/>
                              <w:sz w:val="18"/>
                            </w:rPr>
                            <w:t xml:space="preserve"> </w:t>
                          </w:r>
                          <w:r>
                            <w:rPr>
                              <w:rFonts w:ascii="Arial"/>
                              <w:color w:val="5F5F61"/>
                              <w:sz w:val="18"/>
                            </w:rPr>
                            <w:t>of</w:t>
                          </w:r>
                          <w:r>
                            <w:rPr>
                              <w:rFonts w:ascii="Arial"/>
                              <w:color w:val="5F5F61"/>
                              <w:spacing w:val="1"/>
                              <w:sz w:val="18"/>
                            </w:rPr>
                            <w:t xml:space="preserve"> </w:t>
                          </w:r>
                          <w:r>
                            <w:rPr>
                              <w:rFonts w:ascii="Arial"/>
                              <w:color w:val="5F5F61"/>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5.7pt;margin-top:797.65pt;width:48.2pt;height:11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u8rg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bnYRTGcELhKLxMrgLXOZ+k0+VOafOOyRZZI8MK&#10;Gu/Ayf5eG6ABrpOLjSVkwZvGNb8RZxvgOO5AaLhqz2wSrpc/kiBZL9aL2Iuj+dqLgzz3botV7M2L&#10;8GqWX+arVR7+tHHDOK15WTJhw0y6CuM/69tB4aMijsrSsuGlhbMpabXdrBqF9gR0XbjPNguSP3Hz&#10;z9Nwx8DlBaUwioO7KPGK+eLKi4t45kF5F14QJnfJPIiTOC/OKd1zwf6dEuoznMyi2ail33IL3Pea&#10;G0lbbmByNLzN8OLoRFKrwLUoXWsN4c1on5TCpv9cCqjY1GinVyvRUaxm2AyHhwFgVssbWT6BgJUE&#10;gYEWYeqBUUv1HaMeJkiG9bcdUQyj5r2AR2DHzWSoydhMBhEUrmbYYDSaKzOOpV2n+LYG5PGZCXkL&#10;D6XiTsTPWQADu4Cp4LgcJpgdO6dr5/U8Z5e/AAAA//8DAFBLAwQUAAYACAAAACEA1rZ2mOMAAAAO&#10;AQAADwAAAGRycy9kb3ducmV2LnhtbEyPwU7DMBBE70j8g7VI3KgTShMS4lQVglMlRBoOHJ3YTazG&#10;6xC7bfr3bE9w29E8zc4U69kO7KQnbxwKiBcRMI2tUwY7AV/1+8MzMB8kKjk41AIu2sO6vL0pZK7c&#10;GSt92oWOUQj6XAroQxhzzn3bayv9wo0aydu7ycpAcuq4muSZwu3AH6Mo4VYapA+9HPVrr9vD7mgF&#10;bL6xejM/H81nta9MXWcRbpODEPd38+YFWNBz+IPhWp+qQ0mdGndE5dkgIEvjJ0LJWGWrJbArEiUp&#10;zWnoSuJ0Cbws+P8Z5S8AAAD//wMAUEsBAi0AFAAGAAgAAAAhALaDOJL+AAAA4QEAABMAAAAAAAAA&#10;AAAAAAAAAAAAAFtDb250ZW50X1R5cGVzXS54bWxQSwECLQAUAAYACAAAACEAOP0h/9YAAACUAQAA&#10;CwAAAAAAAAAAAAAAAAAvAQAAX3JlbHMvLnJlbHNQSwECLQAUAAYACAAAACEAuTG7vK4CAACvBQAA&#10;DgAAAAAAAAAAAAAAAAAuAgAAZHJzL2Uyb0RvYy54bWxQSwECLQAUAAYACAAAACEA1rZ2mOMAAAAO&#10;AQAADwAAAAAAAAAAAAAAAAAIBQAAZHJzL2Rvd25yZXYueG1sUEsFBgAAAAAEAAQA8wAAABgGAAAA&#10;AA==&#10;" filled="f" stroked="f">
              <v:textbox inset="0,0,0,0">
                <w:txbxContent>
                  <w:p w:rsidR="00BE70F2" w:rsidRDefault="00FF3316">
                    <w:pPr>
                      <w:spacing w:line="204" w:lineRule="exact"/>
                      <w:ind w:left="20"/>
                      <w:rPr>
                        <w:rFonts w:ascii="Arial" w:eastAsia="Arial" w:hAnsi="Arial" w:cs="Arial"/>
                        <w:sz w:val="18"/>
                        <w:szCs w:val="18"/>
                      </w:rPr>
                    </w:pPr>
                    <w:r>
                      <w:rPr>
                        <w:rFonts w:ascii="Arial"/>
                        <w:color w:val="5F5F61"/>
                        <w:sz w:val="18"/>
                      </w:rPr>
                      <w:t>Page</w:t>
                    </w:r>
                    <w:r>
                      <w:rPr>
                        <w:rFonts w:ascii="Arial"/>
                        <w:color w:val="5F5F61"/>
                        <w:spacing w:val="1"/>
                        <w:sz w:val="18"/>
                      </w:rPr>
                      <w:t xml:space="preserve"> </w:t>
                    </w:r>
                    <w:r>
                      <w:fldChar w:fldCharType="begin"/>
                    </w:r>
                    <w:r>
                      <w:rPr>
                        <w:rFonts w:ascii="Arial"/>
                        <w:color w:val="5F5F61"/>
                        <w:sz w:val="18"/>
                      </w:rPr>
                      <w:instrText xml:space="preserve"> PAGE </w:instrText>
                    </w:r>
                    <w:r>
                      <w:fldChar w:fldCharType="separate"/>
                    </w:r>
                    <w:r>
                      <w:t>2</w:t>
                    </w:r>
                    <w:r>
                      <w:fldChar w:fldCharType="end"/>
                    </w:r>
                    <w:r>
                      <w:rPr>
                        <w:rFonts w:ascii="Arial"/>
                        <w:color w:val="5F5F61"/>
                        <w:spacing w:val="-2"/>
                        <w:sz w:val="18"/>
                      </w:rPr>
                      <w:t xml:space="preserve"> </w:t>
                    </w:r>
                    <w:r>
                      <w:rPr>
                        <w:rFonts w:ascii="Arial"/>
                        <w:color w:val="5F5F61"/>
                        <w:sz w:val="18"/>
                      </w:rPr>
                      <w:t>of</w:t>
                    </w:r>
                    <w:r>
                      <w:rPr>
                        <w:rFonts w:ascii="Arial"/>
                        <w:color w:val="5F5F61"/>
                        <w:spacing w:val="1"/>
                        <w:sz w:val="18"/>
                      </w:rPr>
                      <w:t xml:space="preserve"> </w:t>
                    </w:r>
                    <w:r>
                      <w:rPr>
                        <w:rFonts w:ascii="Arial"/>
                        <w:color w:val="5F5F61"/>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A74" w:rsidRDefault="00A75A74">
      <w:r>
        <w:separator/>
      </w:r>
    </w:p>
  </w:footnote>
  <w:footnote w:type="continuationSeparator" w:id="0">
    <w:p w:rsidR="00A75A74" w:rsidRDefault="00A7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A6A"/>
    <w:multiLevelType w:val="hybridMultilevel"/>
    <w:tmpl w:val="2158A8C8"/>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1" w15:restartNumberingAfterBreak="0">
    <w:nsid w:val="034F2802"/>
    <w:multiLevelType w:val="hybridMultilevel"/>
    <w:tmpl w:val="28304132"/>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 w15:restartNumberingAfterBreak="0">
    <w:nsid w:val="03532487"/>
    <w:multiLevelType w:val="hybridMultilevel"/>
    <w:tmpl w:val="EC260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521A7C"/>
    <w:multiLevelType w:val="hybridMultilevel"/>
    <w:tmpl w:val="2340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96539"/>
    <w:multiLevelType w:val="hybridMultilevel"/>
    <w:tmpl w:val="D8EC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705A9"/>
    <w:multiLevelType w:val="hybridMultilevel"/>
    <w:tmpl w:val="BB320B7A"/>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6" w15:restartNumberingAfterBreak="0">
    <w:nsid w:val="1FB35B28"/>
    <w:multiLevelType w:val="hybridMultilevel"/>
    <w:tmpl w:val="B6D6AB32"/>
    <w:lvl w:ilvl="0" w:tplc="4C10837A">
      <w:start w:val="1"/>
      <w:numFmt w:val="bullet"/>
      <w:lvlText w:val=""/>
      <w:lvlJc w:val="left"/>
      <w:pPr>
        <w:ind w:left="1968" w:hanging="360"/>
      </w:pPr>
      <w:rPr>
        <w:rFonts w:ascii="Symbol" w:eastAsia="Symbol" w:hAnsi="Symbol" w:hint="default"/>
        <w:w w:val="99"/>
        <w:sz w:val="20"/>
        <w:szCs w:val="20"/>
      </w:rPr>
    </w:lvl>
    <w:lvl w:ilvl="1" w:tplc="5E2E72A0">
      <w:start w:val="1"/>
      <w:numFmt w:val="bullet"/>
      <w:lvlText w:val="•"/>
      <w:lvlJc w:val="left"/>
      <w:pPr>
        <w:ind w:left="2883" w:hanging="360"/>
      </w:pPr>
      <w:rPr>
        <w:rFonts w:hint="default"/>
      </w:rPr>
    </w:lvl>
    <w:lvl w:ilvl="2" w:tplc="07629414">
      <w:start w:val="1"/>
      <w:numFmt w:val="bullet"/>
      <w:lvlText w:val="•"/>
      <w:lvlJc w:val="left"/>
      <w:pPr>
        <w:ind w:left="3807" w:hanging="360"/>
      </w:pPr>
      <w:rPr>
        <w:rFonts w:hint="default"/>
      </w:rPr>
    </w:lvl>
    <w:lvl w:ilvl="3" w:tplc="4CA486E0">
      <w:start w:val="1"/>
      <w:numFmt w:val="bullet"/>
      <w:lvlText w:val="•"/>
      <w:lvlJc w:val="left"/>
      <w:pPr>
        <w:ind w:left="4731" w:hanging="360"/>
      </w:pPr>
      <w:rPr>
        <w:rFonts w:hint="default"/>
      </w:rPr>
    </w:lvl>
    <w:lvl w:ilvl="4" w:tplc="CA6416BC">
      <w:start w:val="1"/>
      <w:numFmt w:val="bullet"/>
      <w:lvlText w:val="•"/>
      <w:lvlJc w:val="left"/>
      <w:pPr>
        <w:ind w:left="5655" w:hanging="360"/>
      </w:pPr>
      <w:rPr>
        <w:rFonts w:hint="default"/>
      </w:rPr>
    </w:lvl>
    <w:lvl w:ilvl="5" w:tplc="70C6D4A8">
      <w:start w:val="1"/>
      <w:numFmt w:val="bullet"/>
      <w:lvlText w:val="•"/>
      <w:lvlJc w:val="left"/>
      <w:pPr>
        <w:ind w:left="6579" w:hanging="360"/>
      </w:pPr>
      <w:rPr>
        <w:rFonts w:hint="default"/>
      </w:rPr>
    </w:lvl>
    <w:lvl w:ilvl="6" w:tplc="DE4204BC">
      <w:start w:val="1"/>
      <w:numFmt w:val="bullet"/>
      <w:lvlText w:val="•"/>
      <w:lvlJc w:val="left"/>
      <w:pPr>
        <w:ind w:left="7503" w:hanging="360"/>
      </w:pPr>
      <w:rPr>
        <w:rFonts w:hint="default"/>
      </w:rPr>
    </w:lvl>
    <w:lvl w:ilvl="7" w:tplc="2090AF4C">
      <w:start w:val="1"/>
      <w:numFmt w:val="bullet"/>
      <w:lvlText w:val="•"/>
      <w:lvlJc w:val="left"/>
      <w:pPr>
        <w:ind w:left="8427" w:hanging="360"/>
      </w:pPr>
      <w:rPr>
        <w:rFonts w:hint="default"/>
      </w:rPr>
    </w:lvl>
    <w:lvl w:ilvl="8" w:tplc="61A09664">
      <w:start w:val="1"/>
      <w:numFmt w:val="bullet"/>
      <w:lvlText w:val="•"/>
      <w:lvlJc w:val="left"/>
      <w:pPr>
        <w:ind w:left="9351" w:hanging="360"/>
      </w:pPr>
      <w:rPr>
        <w:rFonts w:hint="default"/>
      </w:rPr>
    </w:lvl>
  </w:abstractNum>
  <w:abstractNum w:abstractNumId="7" w15:restartNumberingAfterBreak="0">
    <w:nsid w:val="2C573B39"/>
    <w:multiLevelType w:val="hybridMultilevel"/>
    <w:tmpl w:val="658879E0"/>
    <w:lvl w:ilvl="0" w:tplc="285C9A70">
      <w:start w:val="1"/>
      <w:numFmt w:val="bullet"/>
      <w:lvlText w:val=""/>
      <w:lvlJc w:val="left"/>
      <w:pPr>
        <w:ind w:left="718" w:hanging="370"/>
      </w:pPr>
      <w:rPr>
        <w:rFonts w:ascii="Symbol" w:eastAsia="Symbol" w:hAnsi="Symbol" w:hint="default"/>
        <w:w w:val="99"/>
        <w:sz w:val="20"/>
        <w:szCs w:val="20"/>
      </w:rPr>
    </w:lvl>
    <w:lvl w:ilvl="1" w:tplc="240AD918">
      <w:start w:val="1"/>
      <w:numFmt w:val="bullet"/>
      <w:lvlText w:val="•"/>
      <w:lvlJc w:val="left"/>
      <w:pPr>
        <w:ind w:left="1633" w:hanging="370"/>
      </w:pPr>
      <w:rPr>
        <w:rFonts w:hint="default"/>
      </w:rPr>
    </w:lvl>
    <w:lvl w:ilvl="2" w:tplc="02CC98CC">
      <w:start w:val="1"/>
      <w:numFmt w:val="bullet"/>
      <w:lvlText w:val="•"/>
      <w:lvlJc w:val="left"/>
      <w:pPr>
        <w:ind w:left="2547" w:hanging="370"/>
      </w:pPr>
      <w:rPr>
        <w:rFonts w:hint="default"/>
      </w:rPr>
    </w:lvl>
    <w:lvl w:ilvl="3" w:tplc="6DE8E35E">
      <w:start w:val="1"/>
      <w:numFmt w:val="bullet"/>
      <w:lvlText w:val="•"/>
      <w:lvlJc w:val="left"/>
      <w:pPr>
        <w:ind w:left="3461" w:hanging="370"/>
      </w:pPr>
      <w:rPr>
        <w:rFonts w:hint="default"/>
      </w:rPr>
    </w:lvl>
    <w:lvl w:ilvl="4" w:tplc="38DCB436">
      <w:start w:val="1"/>
      <w:numFmt w:val="bullet"/>
      <w:lvlText w:val="•"/>
      <w:lvlJc w:val="left"/>
      <w:pPr>
        <w:ind w:left="4375" w:hanging="370"/>
      </w:pPr>
      <w:rPr>
        <w:rFonts w:hint="default"/>
      </w:rPr>
    </w:lvl>
    <w:lvl w:ilvl="5" w:tplc="F9DE81EC">
      <w:start w:val="1"/>
      <w:numFmt w:val="bullet"/>
      <w:lvlText w:val="•"/>
      <w:lvlJc w:val="left"/>
      <w:pPr>
        <w:ind w:left="5289" w:hanging="370"/>
      </w:pPr>
      <w:rPr>
        <w:rFonts w:hint="default"/>
      </w:rPr>
    </w:lvl>
    <w:lvl w:ilvl="6" w:tplc="DAEAF430">
      <w:start w:val="1"/>
      <w:numFmt w:val="bullet"/>
      <w:lvlText w:val="•"/>
      <w:lvlJc w:val="left"/>
      <w:pPr>
        <w:ind w:left="6203" w:hanging="370"/>
      </w:pPr>
      <w:rPr>
        <w:rFonts w:hint="default"/>
      </w:rPr>
    </w:lvl>
    <w:lvl w:ilvl="7" w:tplc="80E408A6">
      <w:start w:val="1"/>
      <w:numFmt w:val="bullet"/>
      <w:lvlText w:val="•"/>
      <w:lvlJc w:val="left"/>
      <w:pPr>
        <w:ind w:left="7117" w:hanging="370"/>
      </w:pPr>
      <w:rPr>
        <w:rFonts w:hint="default"/>
      </w:rPr>
    </w:lvl>
    <w:lvl w:ilvl="8" w:tplc="28243394">
      <w:start w:val="1"/>
      <w:numFmt w:val="bullet"/>
      <w:lvlText w:val="•"/>
      <w:lvlJc w:val="left"/>
      <w:pPr>
        <w:ind w:left="8031" w:hanging="370"/>
      </w:pPr>
      <w:rPr>
        <w:rFonts w:hint="default"/>
      </w:rPr>
    </w:lvl>
  </w:abstractNum>
  <w:abstractNum w:abstractNumId="8" w15:restartNumberingAfterBreak="0">
    <w:nsid w:val="387348A6"/>
    <w:multiLevelType w:val="hybridMultilevel"/>
    <w:tmpl w:val="8B745966"/>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9"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064C2"/>
    <w:multiLevelType w:val="hybridMultilevel"/>
    <w:tmpl w:val="5FA0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AE4B3B"/>
    <w:multiLevelType w:val="hybridMultilevel"/>
    <w:tmpl w:val="92EE358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2" w15:restartNumberingAfterBreak="0">
    <w:nsid w:val="6D5105A9"/>
    <w:multiLevelType w:val="hybridMultilevel"/>
    <w:tmpl w:val="2FCA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E85762"/>
    <w:multiLevelType w:val="hybridMultilevel"/>
    <w:tmpl w:val="1332B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5"/>
  </w:num>
  <w:num w:numId="5">
    <w:abstractNumId w:val="0"/>
  </w:num>
  <w:num w:numId="6">
    <w:abstractNumId w:val="4"/>
  </w:num>
  <w:num w:numId="7">
    <w:abstractNumId w:val="1"/>
  </w:num>
  <w:num w:numId="8">
    <w:abstractNumId w:val="8"/>
  </w:num>
  <w:num w:numId="9">
    <w:abstractNumId w:val="9"/>
  </w:num>
  <w:num w:numId="10">
    <w:abstractNumId w:val="2"/>
  </w:num>
  <w:num w:numId="11">
    <w:abstractNumId w:val="12"/>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F2"/>
    <w:rsid w:val="00046423"/>
    <w:rsid w:val="000A6990"/>
    <w:rsid w:val="000E6FD4"/>
    <w:rsid w:val="000F209A"/>
    <w:rsid w:val="000F4B0D"/>
    <w:rsid w:val="00104BA2"/>
    <w:rsid w:val="00127E80"/>
    <w:rsid w:val="001317E8"/>
    <w:rsid w:val="00135AB7"/>
    <w:rsid w:val="0014111D"/>
    <w:rsid w:val="00165085"/>
    <w:rsid w:val="00173584"/>
    <w:rsid w:val="001A49C6"/>
    <w:rsid w:val="001B3A37"/>
    <w:rsid w:val="0023510C"/>
    <w:rsid w:val="0024053F"/>
    <w:rsid w:val="002560F4"/>
    <w:rsid w:val="0029021A"/>
    <w:rsid w:val="0029274D"/>
    <w:rsid w:val="002B23DE"/>
    <w:rsid w:val="0034633A"/>
    <w:rsid w:val="00347599"/>
    <w:rsid w:val="003602C4"/>
    <w:rsid w:val="00441F7F"/>
    <w:rsid w:val="00454B93"/>
    <w:rsid w:val="004A6408"/>
    <w:rsid w:val="00513E49"/>
    <w:rsid w:val="00534750"/>
    <w:rsid w:val="0057448F"/>
    <w:rsid w:val="00590F3C"/>
    <w:rsid w:val="005A1CC5"/>
    <w:rsid w:val="005A51CA"/>
    <w:rsid w:val="005D7025"/>
    <w:rsid w:val="006436E0"/>
    <w:rsid w:val="006A3B6E"/>
    <w:rsid w:val="006B0D53"/>
    <w:rsid w:val="006B3D6A"/>
    <w:rsid w:val="00736D50"/>
    <w:rsid w:val="00743452"/>
    <w:rsid w:val="00787D77"/>
    <w:rsid w:val="007B1B2E"/>
    <w:rsid w:val="007C32FC"/>
    <w:rsid w:val="008134E2"/>
    <w:rsid w:val="008461D6"/>
    <w:rsid w:val="00850461"/>
    <w:rsid w:val="0087111E"/>
    <w:rsid w:val="0088505C"/>
    <w:rsid w:val="009074D2"/>
    <w:rsid w:val="00926AE5"/>
    <w:rsid w:val="00A75A74"/>
    <w:rsid w:val="00AE5B13"/>
    <w:rsid w:val="00B7585C"/>
    <w:rsid w:val="00BA32DC"/>
    <w:rsid w:val="00BD1421"/>
    <w:rsid w:val="00BE70F2"/>
    <w:rsid w:val="00BF7B2D"/>
    <w:rsid w:val="00C016FD"/>
    <w:rsid w:val="00C122BF"/>
    <w:rsid w:val="00C22CA2"/>
    <w:rsid w:val="00C25754"/>
    <w:rsid w:val="00C453D8"/>
    <w:rsid w:val="00C55B3C"/>
    <w:rsid w:val="00C909DC"/>
    <w:rsid w:val="00D670FC"/>
    <w:rsid w:val="00D75ECA"/>
    <w:rsid w:val="00DA3000"/>
    <w:rsid w:val="00DE0AB8"/>
    <w:rsid w:val="00E04AB0"/>
    <w:rsid w:val="00E11365"/>
    <w:rsid w:val="00E116AA"/>
    <w:rsid w:val="00E1214A"/>
    <w:rsid w:val="00E16FE7"/>
    <w:rsid w:val="00E40DA7"/>
    <w:rsid w:val="00E52624"/>
    <w:rsid w:val="00E81D73"/>
    <w:rsid w:val="00EC4A18"/>
    <w:rsid w:val="00F83830"/>
    <w:rsid w:val="00FD0AE0"/>
    <w:rsid w:val="00FF3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D51E82-ED4B-492A-BA0A-DCD001B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3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37"/>
    <w:rPr>
      <w:rFonts w:ascii="Segoe UI" w:hAnsi="Segoe UI" w:cs="Segoe UI"/>
      <w:sz w:val="18"/>
      <w:szCs w:val="18"/>
    </w:rPr>
  </w:style>
  <w:style w:type="paragraph" w:styleId="Header">
    <w:name w:val="header"/>
    <w:basedOn w:val="Normal"/>
    <w:link w:val="HeaderChar"/>
    <w:uiPriority w:val="99"/>
    <w:unhideWhenUsed/>
    <w:rsid w:val="009074D2"/>
    <w:pPr>
      <w:tabs>
        <w:tab w:val="center" w:pos="4680"/>
        <w:tab w:val="right" w:pos="9360"/>
      </w:tabs>
    </w:pPr>
  </w:style>
  <w:style w:type="character" w:customStyle="1" w:styleId="HeaderChar">
    <w:name w:val="Header Char"/>
    <w:basedOn w:val="DefaultParagraphFont"/>
    <w:link w:val="Header"/>
    <w:uiPriority w:val="99"/>
    <w:rsid w:val="009074D2"/>
  </w:style>
  <w:style w:type="paragraph" w:styleId="Footer">
    <w:name w:val="footer"/>
    <w:basedOn w:val="Normal"/>
    <w:link w:val="FooterChar"/>
    <w:uiPriority w:val="99"/>
    <w:unhideWhenUsed/>
    <w:rsid w:val="009074D2"/>
    <w:pPr>
      <w:tabs>
        <w:tab w:val="center" w:pos="4680"/>
        <w:tab w:val="right" w:pos="9360"/>
      </w:tabs>
    </w:pPr>
  </w:style>
  <w:style w:type="character" w:customStyle="1" w:styleId="FooterChar">
    <w:name w:val="Footer Char"/>
    <w:basedOn w:val="DefaultParagraphFont"/>
    <w:link w:val="Footer"/>
    <w:uiPriority w:val="99"/>
    <w:rsid w:val="009074D2"/>
  </w:style>
  <w:style w:type="character" w:styleId="Hyperlink">
    <w:name w:val="Hyperlink"/>
    <w:basedOn w:val="DefaultParagraphFont"/>
    <w:uiPriority w:val="99"/>
    <w:unhideWhenUsed/>
    <w:rsid w:val="00C55B3C"/>
    <w:rPr>
      <w:color w:val="0000FF" w:themeColor="hyperlink"/>
      <w:u w:val="single"/>
    </w:rPr>
  </w:style>
  <w:style w:type="character" w:styleId="UnresolvedMention">
    <w:name w:val="Unresolved Mention"/>
    <w:basedOn w:val="DefaultParagraphFont"/>
    <w:uiPriority w:val="99"/>
    <w:semiHidden/>
    <w:unhideWhenUsed/>
    <w:rsid w:val="00C55B3C"/>
    <w:rPr>
      <w:color w:val="605E5C"/>
      <w:shd w:val="clear" w:color="auto" w:fill="E1DFDD"/>
    </w:rPr>
  </w:style>
  <w:style w:type="paragraph" w:customStyle="1" w:styleId="AHPRAbody">
    <w:name w:val="AHPRA body"/>
    <w:basedOn w:val="Normal"/>
    <w:link w:val="AHPRAbodyChar"/>
    <w:qFormat/>
    <w:rsid w:val="00046423"/>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046423"/>
    <w:pPr>
      <w:widowControl/>
      <w:spacing w:after="200"/>
      <w:outlineLvl w:val="0"/>
    </w:pPr>
    <w:rPr>
      <w:rFonts w:ascii="Arial" w:eastAsia="Cambria" w:hAnsi="Arial" w:cs="Arial"/>
      <w:color w:val="5F6062"/>
      <w:sz w:val="28"/>
      <w:szCs w:val="52"/>
      <w:lang w:val="en-AU"/>
    </w:rPr>
  </w:style>
  <w:style w:type="character" w:customStyle="1" w:styleId="AHPRAbodyChar">
    <w:name w:val="AHPRA body Char"/>
    <w:basedOn w:val="DefaultParagraphFont"/>
    <w:link w:val="AHPRAbody"/>
    <w:rsid w:val="00046423"/>
    <w:rPr>
      <w:rFonts w:ascii="Arial" w:eastAsia="Cambria" w:hAnsi="Arial" w:cs="Arial"/>
      <w:sz w:val="20"/>
      <w:szCs w:val="24"/>
      <w:lang w:val="en-AU"/>
    </w:rPr>
  </w:style>
  <w:style w:type="character" w:styleId="FollowedHyperlink">
    <w:name w:val="FollowedHyperlink"/>
    <w:basedOn w:val="DefaultParagraphFont"/>
    <w:uiPriority w:val="99"/>
    <w:semiHidden/>
    <w:unhideWhenUsed/>
    <w:rsid w:val="00DE0AB8"/>
    <w:rPr>
      <w:color w:val="800080" w:themeColor="followedHyperlink"/>
      <w:u w:val="single"/>
    </w:rPr>
  </w:style>
  <w:style w:type="paragraph" w:customStyle="1" w:styleId="AHPRASubheadinglevel3">
    <w:name w:val="AHPRA Subheading level 3"/>
    <w:basedOn w:val="Normal"/>
    <w:uiPriority w:val="99"/>
    <w:rsid w:val="0023510C"/>
    <w:pPr>
      <w:widowControl/>
      <w:spacing w:before="200" w:after="200"/>
    </w:pPr>
    <w:rPr>
      <w:rFonts w:ascii="Arial" w:hAnsi="Arial" w:cs="Arial"/>
      <w:color w:val="007DC3"/>
      <w:sz w:val="20"/>
      <w:szCs w:val="20"/>
      <w:lang w:val="en-AU"/>
    </w:rPr>
  </w:style>
  <w:style w:type="paragraph" w:styleId="FootnoteText">
    <w:name w:val="footnote text"/>
    <w:basedOn w:val="Normal"/>
    <w:link w:val="FootnoteTextChar"/>
    <w:uiPriority w:val="1"/>
    <w:semiHidden/>
    <w:unhideWhenUsed/>
    <w:rsid w:val="0023510C"/>
    <w:pPr>
      <w:widowControl/>
      <w:spacing w:before="120" w:after="120"/>
    </w:pPr>
    <w:rPr>
      <w:rFonts w:ascii="Arial" w:hAnsi="Arial" w:cs="Arial"/>
      <w:sz w:val="20"/>
      <w:szCs w:val="20"/>
      <w:lang w:val="en-AU"/>
    </w:rPr>
  </w:style>
  <w:style w:type="character" w:customStyle="1" w:styleId="FootnoteTextChar">
    <w:name w:val="Footnote Text Char"/>
    <w:basedOn w:val="DefaultParagraphFont"/>
    <w:link w:val="FootnoteText"/>
    <w:uiPriority w:val="1"/>
    <w:semiHidden/>
    <w:rsid w:val="0023510C"/>
    <w:rPr>
      <w:rFonts w:ascii="Arial" w:hAnsi="Arial" w:cs="Arial"/>
      <w:sz w:val="20"/>
      <w:szCs w:val="20"/>
      <w:lang w:val="en-AU"/>
    </w:rPr>
  </w:style>
  <w:style w:type="character" w:customStyle="1" w:styleId="AHPRASubheadingChar">
    <w:name w:val="AHPRA Subheading Char"/>
    <w:basedOn w:val="DefaultParagraphFont"/>
    <w:link w:val="AHPRASubheading"/>
    <w:locked/>
    <w:rsid w:val="0023510C"/>
    <w:rPr>
      <w:b/>
      <w:bCs/>
      <w:color w:val="007DC3"/>
    </w:rPr>
  </w:style>
  <w:style w:type="paragraph" w:customStyle="1" w:styleId="AHPRASubheading">
    <w:name w:val="AHPRA Subheading"/>
    <w:basedOn w:val="Normal"/>
    <w:link w:val="AHPRASubheadingChar"/>
    <w:rsid w:val="0023510C"/>
    <w:pPr>
      <w:widowControl/>
      <w:spacing w:before="200" w:after="200"/>
    </w:pPr>
    <w:rPr>
      <w:b/>
      <w:bCs/>
      <w:color w:val="007DC3"/>
    </w:rPr>
  </w:style>
  <w:style w:type="paragraph" w:customStyle="1" w:styleId="Bulletedlist">
    <w:name w:val="Bulleted list"/>
    <w:basedOn w:val="Normal"/>
    <w:rsid w:val="0023510C"/>
    <w:pPr>
      <w:widowControl/>
      <w:numPr>
        <w:numId w:val="9"/>
      </w:numPr>
      <w:ind w:left="340" w:hanging="340"/>
    </w:pPr>
    <w:rPr>
      <w:rFonts w:ascii="Arial" w:hAnsi="Arial" w:cs="Arial"/>
      <w:sz w:val="20"/>
      <w:szCs w:val="20"/>
      <w:lang w:val="en-AU"/>
    </w:rPr>
  </w:style>
  <w:style w:type="character" w:styleId="FootnoteReference">
    <w:name w:val="footnote reference"/>
    <w:basedOn w:val="DefaultParagraphFont"/>
    <w:uiPriority w:val="99"/>
    <w:semiHidden/>
    <w:unhideWhenUsed/>
    <w:rsid w:val="0023510C"/>
    <w:rPr>
      <w:rFonts w:ascii="Arial" w:hAnsi="Arial" w:cs="Arial" w:hint="default"/>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834186">
      <w:bodyDiv w:val="1"/>
      <w:marLeft w:val="0"/>
      <w:marRight w:val="0"/>
      <w:marTop w:val="0"/>
      <w:marBottom w:val="0"/>
      <w:divBdr>
        <w:top w:val="none" w:sz="0" w:space="0" w:color="auto"/>
        <w:left w:val="none" w:sz="0" w:space="0" w:color="auto"/>
        <w:bottom w:val="none" w:sz="0" w:space="0" w:color="auto"/>
        <w:right w:val="none" w:sz="0" w:space="0" w:color="auto"/>
      </w:divBdr>
    </w:div>
    <w:div w:id="1891725262">
      <w:bodyDiv w:val="1"/>
      <w:marLeft w:val="0"/>
      <w:marRight w:val="0"/>
      <w:marTop w:val="0"/>
      <w:marBottom w:val="0"/>
      <w:divBdr>
        <w:top w:val="none" w:sz="0" w:space="0" w:color="auto"/>
        <w:left w:val="none" w:sz="0" w:space="0" w:color="auto"/>
        <w:bottom w:val="none" w:sz="0" w:space="0" w:color="auto"/>
        <w:right w:val="none" w:sz="0" w:space="0" w:color="auto"/>
      </w:divBdr>
    </w:div>
    <w:div w:id="214677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tometryboard.gov.au/Registration/Fees.aspx" TargetMode="External"/><Relationship Id="rId13" Type="http://schemas.openxmlformats.org/officeDocument/2006/relationships/hyperlink" Target="https://www.ahpra.gov.au/News/2019-08-20-practitioner-experience-video-two.aspx" TargetMode="External"/><Relationship Id="rId18" Type="http://schemas.openxmlformats.org/officeDocument/2006/relationships/hyperlink" Target="https://www.ahpra.gov.au/Publications/Advertising-resources.aspx" TargetMode="External"/><Relationship Id="rId26" Type="http://schemas.openxmlformats.org/officeDocument/2006/relationships/hyperlink" Target="http://www.optometryboard.gov.au/" TargetMode="External"/><Relationship Id="rId3" Type="http://schemas.openxmlformats.org/officeDocument/2006/relationships/settings" Target="settings.xml"/><Relationship Id="rId21" Type="http://schemas.openxmlformats.org/officeDocument/2006/relationships/hyperlink" Target="https://twitter.com/AHPRA"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hpra.gov.au/News/2019-03-04-lets-talk-about-it.aspx" TargetMode="External"/><Relationship Id="rId17" Type="http://schemas.openxmlformats.org/officeDocument/2006/relationships/hyperlink" Target="https://www.osteopathyboard.gov.au/Codes-Guidelines/Advertising-a-regulated-health-service.aspx"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steopathyboard.gov.au/Codes-Guidelines/Advertising-a-regulated-health-service.aspx" TargetMode="External"/><Relationship Id="rId20" Type="http://schemas.openxmlformats.org/officeDocument/2006/relationships/hyperlink" Target="https://www.facebook.com/ahpra.gov.au/" TargetMode="External"/><Relationship Id="rId29" Type="http://schemas.openxmlformats.org/officeDocument/2006/relationships/hyperlink" Target="http://www.ahpra.gov.au/About-AHPRA/Contact-U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pra.gov.au/News/2019-08-20-practitioner-experience-video-two.aspx" TargetMode="External"/><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hpra.gov.au/About-AHPRA/Aboriginal-and-Torres-Strait-Islander-Health-Strategy.aspx" TargetMode="External"/><Relationship Id="rId23" Type="http://schemas.openxmlformats.org/officeDocument/2006/relationships/image" Target="media/image2.png"/><Relationship Id="rId28" Type="http://schemas.openxmlformats.org/officeDocument/2006/relationships/hyperlink" Target="http://www.ahpra.gov.au/" TargetMode="External"/><Relationship Id="rId10" Type="http://schemas.openxmlformats.org/officeDocument/2006/relationships/hyperlink" Target="https://www.optometryboard.gov.au/News/2019-09-11-Public-Consultations.aspx" TargetMode="External"/><Relationship Id="rId19" Type="http://schemas.openxmlformats.org/officeDocument/2006/relationships/hyperlink" Target="https://www.ahpra.gov.au/" TargetMode="External"/><Relationship Id="rId31" Type="http://schemas.openxmlformats.org/officeDocument/2006/relationships/hyperlink" Target="http://www.ahpra.gov.au/About-AHPRA/What-We-Do.aspx" TargetMode="External"/><Relationship Id="rId4" Type="http://schemas.openxmlformats.org/officeDocument/2006/relationships/webSettings" Target="webSettings.xml"/><Relationship Id="rId9" Type="http://schemas.openxmlformats.org/officeDocument/2006/relationships/hyperlink" Target="https://www.optometryboard.gov.au/Registration-Standards/Endorsement-for-scheduled-medicines.aspx" TargetMode="External"/><Relationship Id="rId14" Type="http://schemas.openxmlformats.org/officeDocument/2006/relationships/hyperlink" Target="https://www.ahpra.gov.au/About-AHPRA/Aboriginal-and-Torres-Strait-Islander-Health-Strategy/Statement-of-intent.aspx" TargetMode="External"/><Relationship Id="rId22" Type="http://schemas.openxmlformats.org/officeDocument/2006/relationships/hyperlink" Target="https://www.linkedin.com/company/australian-health-practitioner-regulation-agency" TargetMode="External"/><Relationship Id="rId27" Type="http://schemas.openxmlformats.org/officeDocument/2006/relationships/hyperlink" Target="http://www.ahpra.gov.au/" TargetMode="External"/><Relationship Id="rId30" Type="http://schemas.openxmlformats.org/officeDocument/2006/relationships/hyperlink" Target="http://www.optometry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Meeting of the Optometry Board of Australia -June, August and September 2019</vt:lpstr>
    </vt:vector>
  </TitlesOfParts>
  <Company>AHPRA</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Optometry Board of Australia -June, August and September 2019</dc:title>
  <dc:subject>Communique</dc:subject>
  <dc:creator>Optometry Board</dc:creator>
  <cp:keywords>OptomBA Communique</cp:keywords>
  <cp:lastModifiedBy>Fumi Goto</cp:lastModifiedBy>
  <cp:revision>2</cp:revision>
  <dcterms:created xsi:type="dcterms:W3CDTF">2019-10-21T06:00:00Z</dcterms:created>
  <dcterms:modified xsi:type="dcterms:W3CDTF">2019-10-21T06:00:00Z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for Office 365</vt:lpwstr>
  </property>
  <property fmtid="{D5CDD505-2E9C-101B-9397-08002B2CF9AE}" pid="4" name="LastSaved">
    <vt:filetime>2019-10-08T00:00:00Z</vt:filetime>
  </property>
</Properties>
</file>