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714" w:rsidRPr="00554335" w:rsidRDefault="00394230" w:rsidP="00192714">
      <w:pPr>
        <w:pStyle w:val="AHPRADocumenttitle"/>
      </w:pPr>
      <w:bookmarkStart w:id="0" w:name="_GoBack"/>
      <w:bookmarkEnd w:id="0"/>
      <w:r>
        <w:t>P</w:t>
      </w:r>
      <w:r w:rsidR="00CB7FFD">
        <w:t>ublic</w:t>
      </w:r>
      <w:r w:rsidR="007D7B6F">
        <w:t xml:space="preserve"> </w:t>
      </w:r>
      <w:r w:rsidR="00192714">
        <w:t xml:space="preserve">consultation </w:t>
      </w:r>
      <w:r w:rsidR="0058421F">
        <w:t xml:space="preserve">on </w:t>
      </w:r>
      <w:r w:rsidR="00F068F0">
        <w:t>revised</w:t>
      </w:r>
      <w:r w:rsidR="0058421F">
        <w:t xml:space="preserve"> </w:t>
      </w:r>
      <w:r>
        <w:t>guidelines</w:t>
      </w:r>
    </w:p>
    <w:p w:rsidR="00192714" w:rsidRPr="00554335" w:rsidRDefault="006B651A" w:rsidP="00192714">
      <w:pPr>
        <w:pStyle w:val="AHPRAHeadline"/>
        <w:outlineLvl w:val="0"/>
      </w:pPr>
      <w:r>
        <w:rPr>
          <w:noProof/>
          <w:lang w:val="en-GB" w:eastAsia="en-GB"/>
        </w:rPr>
        <w:pict>
          <v:shapetype id="_x0000_t32" coordsize="21600,21600" o:spt="32" o:oned="t" path="m,l21600,21600e" filled="f">
            <v:path arrowok="t" fillok="f" o:connecttype="none"/>
            <o:lock v:ext="edit" shapetype="t"/>
          </v:shapetype>
          <v:shape id="AutoShape 3" o:spid="_x0000_s1029" type="#_x0000_t32" style="position:absolute;margin-left:-55.65pt;margin-top:.15pt;width:280.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w:pict>
      </w:r>
    </w:p>
    <w:p w:rsidR="00192714" w:rsidRDefault="00047F1A" w:rsidP="00192714">
      <w:pPr>
        <w:pStyle w:val="AHPRAbodytext"/>
      </w:pPr>
      <w:r>
        <w:t>September</w:t>
      </w:r>
      <w:r w:rsidR="00F068F0">
        <w:t xml:space="preserve"> </w:t>
      </w:r>
      <w:r w:rsidR="00394230">
        <w:t>2015</w:t>
      </w:r>
    </w:p>
    <w:p w:rsidR="00192714" w:rsidRPr="00AE0BFA" w:rsidRDefault="0058421F" w:rsidP="00192714">
      <w:pPr>
        <w:pStyle w:val="AHPRADocumentsubheading"/>
      </w:pPr>
      <w:r>
        <w:t xml:space="preserve">Responses to consultation questions </w:t>
      </w:r>
    </w:p>
    <w:p w:rsidR="007B3BE5" w:rsidRPr="0052513C" w:rsidRDefault="007B3BE5" w:rsidP="007B3BE5">
      <w:pPr>
        <w:pStyle w:val="AHPRAbody"/>
        <w:ind w:right="-306"/>
        <w:rPr>
          <w:b/>
          <w:color w:val="000000" w:themeColor="text1"/>
        </w:rPr>
      </w:pPr>
      <w:r w:rsidRPr="003530A9">
        <w:rPr>
          <w:b/>
        </w:rPr>
        <w:t xml:space="preserve">Please provide your feedback </w:t>
      </w:r>
      <w:r w:rsidRPr="003530A9">
        <w:rPr>
          <w:b/>
          <w:bCs/>
          <w:szCs w:val="20"/>
        </w:rPr>
        <w:t xml:space="preserve">as a word document (not PDF) </w:t>
      </w:r>
      <w:r w:rsidRPr="003530A9">
        <w:rPr>
          <w:b/>
        </w:rPr>
        <w:t xml:space="preserve">by email to </w:t>
      </w:r>
      <w:hyperlink r:id="rId8" w:history="1">
        <w:r w:rsidR="00002EFA" w:rsidRPr="003530A9">
          <w:rPr>
            <w:rStyle w:val="Hyperlink"/>
            <w:b/>
            <w:szCs w:val="20"/>
          </w:rPr>
          <w:t>optomconsultation@ahpra.gov.au</w:t>
        </w:r>
      </w:hyperlink>
      <w:r w:rsidRPr="003530A9">
        <w:rPr>
          <w:b/>
        </w:rPr>
        <w:t xml:space="preserve"> </w:t>
      </w:r>
      <w:bookmarkStart w:id="1" w:name="_Toc320239872"/>
      <w:r w:rsidRPr="003530A9">
        <w:rPr>
          <w:b/>
        </w:rPr>
        <w:t xml:space="preserve">by close of business on </w:t>
      </w:r>
      <w:r w:rsidR="00742C92" w:rsidRPr="003530A9">
        <w:rPr>
          <w:b/>
        </w:rPr>
        <w:t>20</w:t>
      </w:r>
      <w:r w:rsidR="00047F1A" w:rsidRPr="003530A9">
        <w:rPr>
          <w:b/>
        </w:rPr>
        <w:t xml:space="preserve"> </w:t>
      </w:r>
      <w:r w:rsidR="00CB7FFD" w:rsidRPr="003530A9">
        <w:rPr>
          <w:b/>
        </w:rPr>
        <w:t>November</w:t>
      </w:r>
      <w:r w:rsidR="00047F1A" w:rsidRPr="003530A9">
        <w:rPr>
          <w:b/>
        </w:rPr>
        <w:t xml:space="preserve"> </w:t>
      </w:r>
      <w:r w:rsidR="00394230" w:rsidRPr="003530A9">
        <w:rPr>
          <w:b/>
        </w:rPr>
        <w:t>2015</w:t>
      </w:r>
      <w:r w:rsidRPr="003530A9">
        <w:rPr>
          <w:b/>
        </w:rPr>
        <w:t>.</w:t>
      </w:r>
      <w:r w:rsidRPr="0052513C">
        <w:rPr>
          <w:b/>
        </w:rPr>
        <w:t xml:space="preserve"> </w:t>
      </w:r>
    </w:p>
    <w:bookmarkEnd w:id="1"/>
    <w:p w:rsidR="00A43430" w:rsidRDefault="00A43430" w:rsidP="006469FA">
      <w:pPr>
        <w:pStyle w:val="AHPRASubhead"/>
        <w:spacing w:after="0"/>
        <w:jc w:val="both"/>
      </w:pPr>
      <w:r w:rsidRPr="0052513C">
        <w:t xml:space="preserve">Stakeholder </w:t>
      </w:r>
      <w:r w:rsidR="003530A9">
        <w:t>d</w:t>
      </w:r>
      <w:r w:rsidRPr="0052513C">
        <w:t>etails</w:t>
      </w:r>
    </w:p>
    <w:p w:rsidR="001F63F8" w:rsidRDefault="001F63F8" w:rsidP="006469FA">
      <w:pPr>
        <w:pStyle w:val="TableText"/>
        <w:keepNext w:val="0"/>
        <w:spacing w:before="0" w:after="0"/>
        <w:jc w:val="both"/>
        <w:rPr>
          <w:rFonts w:ascii="Arial" w:hAnsi="Arial" w:cs="Arial"/>
          <w:i/>
          <w:color w:val="auto"/>
          <w:szCs w:val="20"/>
        </w:rPr>
      </w:pPr>
      <w:r>
        <w:rPr>
          <w:rFonts w:ascii="Arial" w:hAnsi="Arial" w:cs="Arial"/>
          <w:i/>
          <w:color w:val="auto"/>
          <w:szCs w:val="20"/>
        </w:rPr>
        <w:t xml:space="preserve">If you wish to </w:t>
      </w:r>
      <w:r w:rsidR="00362447">
        <w:rPr>
          <w:rFonts w:ascii="Arial" w:hAnsi="Arial" w:cs="Arial"/>
          <w:i/>
          <w:color w:val="auto"/>
          <w:szCs w:val="20"/>
        </w:rPr>
        <w:t xml:space="preserve">include </w:t>
      </w:r>
      <w:r>
        <w:rPr>
          <w:rFonts w:ascii="Arial" w:hAnsi="Arial" w:cs="Arial"/>
          <w:i/>
          <w:color w:val="auto"/>
          <w:szCs w:val="20"/>
        </w:rPr>
        <w:t xml:space="preserve">background information about your organisation please provide this as a separate </w:t>
      </w:r>
      <w:r w:rsidR="007B3BE5">
        <w:rPr>
          <w:rFonts w:ascii="Arial" w:hAnsi="Arial" w:cs="Arial"/>
          <w:i/>
          <w:color w:val="auto"/>
          <w:szCs w:val="20"/>
        </w:rPr>
        <w:t xml:space="preserve">word </w:t>
      </w:r>
      <w:r>
        <w:rPr>
          <w:rFonts w:ascii="Arial" w:hAnsi="Arial" w:cs="Arial"/>
          <w:i/>
          <w:color w:val="auto"/>
          <w:szCs w:val="20"/>
        </w:rPr>
        <w:t>document</w:t>
      </w:r>
      <w:r w:rsidR="00B422F4">
        <w:rPr>
          <w:rFonts w:ascii="Arial" w:hAnsi="Arial" w:cs="Arial"/>
          <w:i/>
          <w:color w:val="auto"/>
          <w:szCs w:val="20"/>
        </w:rPr>
        <w:t xml:space="preserve"> (not PDF)</w:t>
      </w:r>
      <w:r w:rsidR="00742C92">
        <w:rPr>
          <w:rFonts w:ascii="Arial" w:hAnsi="Arial" w:cs="Arial"/>
          <w:i/>
          <w:color w:val="auto"/>
          <w:szCs w:val="20"/>
        </w:rPr>
        <w:t>.</w:t>
      </w:r>
    </w:p>
    <w:p w:rsidR="001F63F8" w:rsidRPr="00A43430" w:rsidRDefault="001F63F8" w:rsidP="001F63F8">
      <w:pPr>
        <w:pStyle w:val="TableText"/>
        <w:keepNext w:val="0"/>
        <w:spacing w:before="0" w:after="0"/>
        <w:ind w:left="142"/>
        <w:jc w:val="both"/>
        <w:rPr>
          <w:rFonts w:ascii="Arial" w:hAnsi="Arial" w:cs="Arial"/>
          <w:i/>
          <w:color w:val="auto"/>
          <w:szCs w:val="20"/>
        </w:rPr>
      </w:pPr>
    </w:p>
    <w:tbl>
      <w:tblPr>
        <w:tblStyle w:val="TableGrid"/>
        <w:tblW w:w="4907" w:type="pct"/>
        <w:tblInd w:w="108" w:type="dxa"/>
        <w:tblLook w:val="04A0" w:firstRow="1" w:lastRow="0" w:firstColumn="1" w:lastColumn="0" w:noHBand="0" w:noVBand="1"/>
      </w:tblPr>
      <w:tblGrid>
        <w:gridCol w:w="9070"/>
      </w:tblGrid>
      <w:tr w:rsidR="001F63F8" w:rsidTr="001F63F8">
        <w:tc>
          <w:tcPr>
            <w:tcW w:w="5000" w:type="pct"/>
            <w:shd w:val="clear" w:color="auto" w:fill="DAEEF3" w:themeFill="accent5" w:themeFillTint="33"/>
          </w:tcPr>
          <w:p w:rsidR="001F63F8" w:rsidRPr="00E8412E" w:rsidRDefault="001F63F8" w:rsidP="001F63F8">
            <w:pPr>
              <w:pStyle w:val="TableText"/>
              <w:keepNext w:val="0"/>
              <w:spacing w:before="0" w:after="0"/>
              <w:jc w:val="both"/>
              <w:rPr>
                <w:rFonts w:ascii="Arial" w:hAnsi="Arial" w:cs="Arial"/>
                <w:color w:val="auto"/>
                <w:szCs w:val="20"/>
              </w:rPr>
            </w:pPr>
            <w:r>
              <w:rPr>
                <w:rFonts w:ascii="Arial" w:hAnsi="Arial" w:cs="Arial"/>
                <w:b/>
                <w:color w:val="auto"/>
                <w:szCs w:val="20"/>
              </w:rPr>
              <w:t>Organisation name</w:t>
            </w:r>
          </w:p>
        </w:tc>
      </w:tr>
      <w:tr w:rsidR="001F63F8" w:rsidTr="001F63F8">
        <w:tc>
          <w:tcPr>
            <w:tcW w:w="5000" w:type="pct"/>
          </w:tcPr>
          <w:p w:rsidR="001F63F8" w:rsidRDefault="001F63F8" w:rsidP="001F63F8">
            <w:pPr>
              <w:pStyle w:val="TableText"/>
              <w:keepNext w:val="0"/>
              <w:spacing w:before="0" w:after="0"/>
              <w:jc w:val="both"/>
              <w:rPr>
                <w:rFonts w:ascii="Arial" w:hAnsi="Arial" w:cs="Arial"/>
                <w:color w:val="auto"/>
                <w:szCs w:val="20"/>
              </w:rPr>
            </w:pPr>
          </w:p>
          <w:p w:rsidR="00F47F45" w:rsidRDefault="00C82344" w:rsidP="001F63F8">
            <w:pPr>
              <w:pStyle w:val="TableText"/>
              <w:keepNext w:val="0"/>
              <w:spacing w:before="0" w:after="0"/>
              <w:jc w:val="both"/>
              <w:rPr>
                <w:rFonts w:ascii="Arial" w:hAnsi="Arial" w:cs="Arial"/>
                <w:color w:val="auto"/>
                <w:szCs w:val="20"/>
              </w:rPr>
            </w:pPr>
            <w:r>
              <w:rPr>
                <w:rFonts w:ascii="Arial" w:hAnsi="Arial" w:cs="Arial"/>
                <w:color w:val="auto"/>
                <w:szCs w:val="20"/>
              </w:rPr>
              <w:t>The Cornea and Contact Lens Society of Australia</w:t>
            </w:r>
          </w:p>
          <w:p w:rsidR="007E2502" w:rsidRDefault="007E2502" w:rsidP="001F63F8">
            <w:pPr>
              <w:pStyle w:val="TableText"/>
              <w:keepNext w:val="0"/>
              <w:spacing w:before="0" w:after="0"/>
              <w:jc w:val="both"/>
              <w:rPr>
                <w:rFonts w:ascii="Arial" w:hAnsi="Arial" w:cs="Arial"/>
                <w:color w:val="auto"/>
                <w:szCs w:val="20"/>
              </w:rPr>
            </w:pPr>
          </w:p>
          <w:p w:rsidR="007E2502" w:rsidRDefault="007E2502" w:rsidP="001F63F8">
            <w:pPr>
              <w:pStyle w:val="TableText"/>
              <w:keepNext w:val="0"/>
              <w:spacing w:before="0" w:after="0"/>
              <w:jc w:val="both"/>
              <w:rPr>
                <w:rFonts w:ascii="Arial" w:hAnsi="Arial" w:cs="Arial"/>
                <w:color w:val="auto"/>
                <w:szCs w:val="20"/>
              </w:rPr>
            </w:pPr>
          </w:p>
          <w:p w:rsidR="001F63F8" w:rsidRPr="00E8412E" w:rsidRDefault="001F63F8" w:rsidP="001F63F8">
            <w:pPr>
              <w:pStyle w:val="TableText"/>
              <w:keepNext w:val="0"/>
              <w:spacing w:before="0" w:after="0"/>
              <w:jc w:val="both"/>
              <w:rPr>
                <w:rFonts w:ascii="Arial" w:hAnsi="Arial" w:cs="Arial"/>
                <w:color w:val="auto"/>
                <w:szCs w:val="20"/>
              </w:rPr>
            </w:pPr>
          </w:p>
        </w:tc>
      </w:tr>
      <w:tr w:rsidR="001F63F8" w:rsidTr="001F63F8">
        <w:tc>
          <w:tcPr>
            <w:tcW w:w="5000" w:type="pct"/>
            <w:shd w:val="clear" w:color="auto" w:fill="DAEEF3" w:themeFill="accent5" w:themeFillTint="33"/>
          </w:tcPr>
          <w:p w:rsidR="001F63F8" w:rsidRDefault="001F63F8" w:rsidP="001F63F8">
            <w:pPr>
              <w:pStyle w:val="TableText"/>
              <w:keepNext w:val="0"/>
              <w:spacing w:before="0" w:after="0"/>
              <w:jc w:val="both"/>
              <w:rPr>
                <w:rFonts w:ascii="Arial" w:hAnsi="Arial" w:cs="Arial"/>
                <w:b/>
                <w:color w:val="auto"/>
                <w:szCs w:val="20"/>
              </w:rPr>
            </w:pPr>
            <w:r>
              <w:rPr>
                <w:rFonts w:ascii="Arial" w:hAnsi="Arial" w:cs="Arial"/>
                <w:b/>
                <w:color w:val="auto"/>
                <w:szCs w:val="20"/>
              </w:rPr>
              <w:t xml:space="preserve">Contact information </w:t>
            </w:r>
          </w:p>
          <w:p w:rsidR="001F63F8" w:rsidRPr="00E8412E" w:rsidRDefault="001F63F8" w:rsidP="001F63F8">
            <w:pPr>
              <w:pStyle w:val="TableText"/>
              <w:keepNext w:val="0"/>
              <w:spacing w:before="0" w:after="0"/>
              <w:jc w:val="both"/>
              <w:rPr>
                <w:rFonts w:ascii="Arial" w:hAnsi="Arial" w:cs="Arial"/>
                <w:color w:val="auto"/>
                <w:szCs w:val="20"/>
              </w:rPr>
            </w:pPr>
            <w:r w:rsidRPr="00EA3717">
              <w:rPr>
                <w:rFonts w:ascii="Arial" w:hAnsi="Arial" w:cs="Arial"/>
                <w:i/>
                <w:color w:val="auto"/>
                <w:szCs w:val="20"/>
              </w:rPr>
              <w:t>(please include contact person’s name and email address)</w:t>
            </w:r>
          </w:p>
        </w:tc>
      </w:tr>
      <w:tr w:rsidR="001F63F8" w:rsidTr="001F63F8">
        <w:tc>
          <w:tcPr>
            <w:tcW w:w="5000" w:type="pct"/>
          </w:tcPr>
          <w:p w:rsidR="001F63F8" w:rsidRDefault="001F63F8" w:rsidP="001F63F8">
            <w:pPr>
              <w:pStyle w:val="TableText"/>
              <w:keepNext w:val="0"/>
              <w:spacing w:before="0" w:after="0"/>
              <w:jc w:val="both"/>
              <w:rPr>
                <w:rFonts w:ascii="Arial" w:hAnsi="Arial" w:cs="Arial"/>
                <w:color w:val="auto"/>
                <w:szCs w:val="20"/>
              </w:rPr>
            </w:pPr>
          </w:p>
          <w:p w:rsidR="00F47F45" w:rsidRDefault="00C82344" w:rsidP="001F63F8">
            <w:pPr>
              <w:pStyle w:val="TableText"/>
              <w:keepNext w:val="0"/>
              <w:spacing w:before="0" w:after="0"/>
              <w:jc w:val="both"/>
              <w:rPr>
                <w:rFonts w:ascii="Arial" w:hAnsi="Arial" w:cs="Arial"/>
                <w:color w:val="auto"/>
                <w:szCs w:val="20"/>
              </w:rPr>
            </w:pPr>
            <w:r>
              <w:rPr>
                <w:rFonts w:ascii="Arial" w:hAnsi="Arial" w:cs="Arial"/>
                <w:color w:val="auto"/>
                <w:szCs w:val="20"/>
              </w:rPr>
              <w:t>Mr David Stephensen</w:t>
            </w:r>
          </w:p>
          <w:p w:rsidR="00C82344" w:rsidRDefault="00C82344" w:rsidP="001F63F8">
            <w:pPr>
              <w:pStyle w:val="TableText"/>
              <w:keepNext w:val="0"/>
              <w:spacing w:before="0" w:after="0"/>
              <w:jc w:val="both"/>
              <w:rPr>
                <w:rFonts w:ascii="Arial" w:hAnsi="Arial" w:cs="Arial"/>
                <w:color w:val="auto"/>
                <w:szCs w:val="20"/>
              </w:rPr>
            </w:pPr>
            <w:r>
              <w:rPr>
                <w:rFonts w:ascii="Arial" w:hAnsi="Arial" w:cs="Arial"/>
                <w:color w:val="auto"/>
                <w:szCs w:val="20"/>
              </w:rPr>
              <w:t>Honorary Vice President</w:t>
            </w:r>
          </w:p>
          <w:p w:rsidR="00C82344" w:rsidRDefault="00C82344" w:rsidP="001F63F8">
            <w:pPr>
              <w:pStyle w:val="TableText"/>
              <w:keepNext w:val="0"/>
              <w:spacing w:before="0" w:after="0"/>
              <w:jc w:val="both"/>
              <w:rPr>
                <w:rFonts w:ascii="Arial" w:hAnsi="Arial" w:cs="Arial"/>
                <w:color w:val="auto"/>
                <w:szCs w:val="20"/>
              </w:rPr>
            </w:pPr>
            <w:r>
              <w:rPr>
                <w:rFonts w:ascii="Arial" w:hAnsi="Arial" w:cs="Arial"/>
                <w:color w:val="auto"/>
                <w:szCs w:val="20"/>
              </w:rPr>
              <w:t>Cornea and Contact Lens Society of Australia</w:t>
            </w:r>
          </w:p>
          <w:p w:rsidR="007E2502" w:rsidRDefault="00C82344" w:rsidP="001F63F8">
            <w:pPr>
              <w:pStyle w:val="TableText"/>
              <w:keepNext w:val="0"/>
              <w:spacing w:before="0" w:after="0"/>
              <w:jc w:val="both"/>
              <w:rPr>
                <w:rFonts w:ascii="Arial" w:hAnsi="Arial" w:cs="Arial"/>
                <w:color w:val="auto"/>
                <w:szCs w:val="20"/>
              </w:rPr>
            </w:pPr>
            <w:r>
              <w:rPr>
                <w:rFonts w:ascii="Arial" w:hAnsi="Arial" w:cs="Arial"/>
                <w:color w:val="auto"/>
                <w:szCs w:val="20"/>
              </w:rPr>
              <w:t>info@cclsa.org.au</w:t>
            </w:r>
          </w:p>
          <w:p w:rsidR="001F63F8" w:rsidRPr="00E8412E" w:rsidRDefault="001F63F8" w:rsidP="001F63F8">
            <w:pPr>
              <w:pStyle w:val="TableText"/>
              <w:keepNext w:val="0"/>
              <w:spacing w:before="0" w:after="0"/>
              <w:jc w:val="both"/>
              <w:rPr>
                <w:rFonts w:ascii="Arial" w:hAnsi="Arial" w:cs="Arial"/>
                <w:color w:val="auto"/>
                <w:szCs w:val="20"/>
              </w:rPr>
            </w:pPr>
          </w:p>
        </w:tc>
      </w:tr>
    </w:tbl>
    <w:p w:rsidR="006469FA" w:rsidRDefault="006469FA" w:rsidP="006469FA">
      <w:pPr>
        <w:pStyle w:val="AHPRASubhead"/>
        <w:spacing w:after="0"/>
        <w:jc w:val="both"/>
      </w:pPr>
    </w:p>
    <w:p w:rsidR="00A43430" w:rsidRDefault="00547923" w:rsidP="00A43430">
      <w:pPr>
        <w:pStyle w:val="AHPRASubhead"/>
        <w:jc w:val="both"/>
      </w:pPr>
      <w:r>
        <w:t>Your r</w:t>
      </w:r>
      <w:r w:rsidR="00A43430">
        <w:t xml:space="preserve">esponses to consultation questions </w:t>
      </w:r>
    </w:p>
    <w:tbl>
      <w:tblPr>
        <w:tblStyle w:val="TableGrid"/>
        <w:tblW w:w="4942" w:type="pct"/>
        <w:tblInd w:w="108" w:type="dxa"/>
        <w:tblLook w:val="04A0" w:firstRow="1" w:lastRow="0" w:firstColumn="1" w:lastColumn="0" w:noHBand="0" w:noVBand="1"/>
      </w:tblPr>
      <w:tblGrid>
        <w:gridCol w:w="9135"/>
      </w:tblGrid>
      <w:tr w:rsidR="00547923" w:rsidRPr="0093789E" w:rsidTr="00317411">
        <w:trPr>
          <w:tblHeader/>
        </w:trPr>
        <w:tc>
          <w:tcPr>
            <w:tcW w:w="5000" w:type="pct"/>
            <w:shd w:val="clear" w:color="auto" w:fill="F2F2F2" w:themeFill="background1" w:themeFillShade="F2"/>
          </w:tcPr>
          <w:p w:rsidR="00547923" w:rsidRDefault="00A71957" w:rsidP="00F068F0">
            <w:pPr>
              <w:pStyle w:val="TableText"/>
              <w:keepNext w:val="0"/>
              <w:rPr>
                <w:rFonts w:ascii="Arial" w:hAnsi="Arial" w:cs="Arial"/>
                <w:b/>
                <w:color w:val="auto"/>
                <w:szCs w:val="20"/>
              </w:rPr>
            </w:pPr>
            <w:r>
              <w:rPr>
                <w:rFonts w:ascii="Arial" w:hAnsi="Arial" w:cs="Arial"/>
                <w:b/>
                <w:color w:val="auto"/>
                <w:szCs w:val="20"/>
              </w:rPr>
              <w:t>Proposed r</w:t>
            </w:r>
            <w:r w:rsidR="00F068F0">
              <w:rPr>
                <w:rFonts w:ascii="Arial" w:hAnsi="Arial" w:cs="Arial"/>
                <w:b/>
                <w:color w:val="auto"/>
                <w:szCs w:val="20"/>
              </w:rPr>
              <w:t>evised g</w:t>
            </w:r>
            <w:r w:rsidR="00394230">
              <w:rPr>
                <w:rFonts w:ascii="Arial" w:hAnsi="Arial" w:cs="Arial"/>
                <w:b/>
                <w:color w:val="auto"/>
                <w:szCs w:val="20"/>
              </w:rPr>
              <w:t xml:space="preserve">uidelines for </w:t>
            </w:r>
            <w:r w:rsidR="00F068F0">
              <w:rPr>
                <w:rFonts w:ascii="Arial" w:hAnsi="Arial" w:cs="Arial"/>
                <w:b/>
                <w:color w:val="auto"/>
                <w:szCs w:val="20"/>
              </w:rPr>
              <w:t>continuing professional development for endorsed and non-endorsed optometrists</w:t>
            </w:r>
          </w:p>
          <w:p w:rsidR="003F3C94" w:rsidRPr="0093789E" w:rsidRDefault="003F3C94" w:rsidP="006469FA">
            <w:pPr>
              <w:pStyle w:val="TableText"/>
              <w:keepNext w:val="0"/>
              <w:rPr>
                <w:rFonts w:ascii="Arial" w:hAnsi="Arial" w:cs="Arial"/>
                <w:b/>
                <w:color w:val="auto"/>
                <w:szCs w:val="20"/>
              </w:rPr>
            </w:pPr>
            <w:r>
              <w:rPr>
                <w:rFonts w:ascii="Arial" w:hAnsi="Arial" w:cs="Arial"/>
                <w:i/>
                <w:color w:val="auto"/>
                <w:szCs w:val="20"/>
              </w:rPr>
              <w:t xml:space="preserve">Please provide your responses to any or all questions in the blank </w:t>
            </w:r>
            <w:r w:rsidR="009062D9">
              <w:rPr>
                <w:rFonts w:ascii="Arial" w:hAnsi="Arial" w:cs="Arial"/>
                <w:i/>
                <w:color w:val="auto"/>
                <w:szCs w:val="20"/>
              </w:rPr>
              <w:t xml:space="preserve">boxes </w:t>
            </w:r>
            <w:r>
              <w:rPr>
                <w:rFonts w:ascii="Arial" w:hAnsi="Arial" w:cs="Arial"/>
                <w:i/>
                <w:color w:val="auto"/>
                <w:szCs w:val="20"/>
              </w:rPr>
              <w:t>below</w:t>
            </w:r>
          </w:p>
        </w:tc>
      </w:tr>
      <w:tr w:rsidR="004922C9" w:rsidRPr="0093789E" w:rsidTr="00317411">
        <w:tc>
          <w:tcPr>
            <w:tcW w:w="5000" w:type="pct"/>
            <w:shd w:val="clear" w:color="auto" w:fill="DAEEF3" w:themeFill="accent5" w:themeFillTint="33"/>
          </w:tcPr>
          <w:p w:rsidR="004922C9" w:rsidRPr="00394230" w:rsidRDefault="00F068F0" w:rsidP="00A71957">
            <w:pPr>
              <w:pStyle w:val="TableText"/>
              <w:keepNext w:val="0"/>
              <w:numPr>
                <w:ilvl w:val="0"/>
                <w:numId w:val="7"/>
              </w:numPr>
              <w:spacing w:before="0" w:after="0"/>
              <w:jc w:val="both"/>
              <w:rPr>
                <w:rFonts w:ascii="Arial" w:hAnsi="Arial" w:cs="Arial"/>
                <w:color w:val="auto"/>
                <w:szCs w:val="20"/>
              </w:rPr>
            </w:pPr>
            <w:r>
              <w:rPr>
                <w:rFonts w:ascii="Arial" w:hAnsi="Arial" w:cs="Arial"/>
                <w:szCs w:val="20"/>
              </w:rPr>
              <w:t xml:space="preserve">Are </w:t>
            </w:r>
            <w:r w:rsidR="00A71957">
              <w:rPr>
                <w:rFonts w:ascii="Arial" w:hAnsi="Arial" w:cs="Arial"/>
                <w:szCs w:val="20"/>
              </w:rPr>
              <w:t>they</w:t>
            </w:r>
            <w:r w:rsidR="00394230" w:rsidRPr="00394230">
              <w:rPr>
                <w:rFonts w:ascii="Arial" w:hAnsi="Arial" w:cs="Arial"/>
                <w:szCs w:val="20"/>
              </w:rPr>
              <w:t xml:space="preserve"> clear and easy to understand?</w:t>
            </w:r>
          </w:p>
        </w:tc>
      </w:tr>
      <w:tr w:rsidR="004922C9" w:rsidRPr="00B12E0A" w:rsidTr="00317411">
        <w:tc>
          <w:tcPr>
            <w:tcW w:w="5000" w:type="pct"/>
          </w:tcPr>
          <w:p w:rsidR="004922C9" w:rsidRPr="00B12E0A" w:rsidRDefault="004922C9" w:rsidP="008A32BE">
            <w:pPr>
              <w:pStyle w:val="TableText"/>
              <w:keepNext w:val="0"/>
              <w:spacing w:before="0" w:after="0"/>
              <w:jc w:val="both"/>
              <w:rPr>
                <w:rFonts w:ascii="Arial" w:hAnsi="Arial" w:cs="Arial"/>
                <w:color w:val="auto"/>
                <w:szCs w:val="20"/>
              </w:rPr>
            </w:pPr>
          </w:p>
          <w:p w:rsidR="004922C9" w:rsidRDefault="00C82344" w:rsidP="008A32BE">
            <w:pPr>
              <w:pStyle w:val="TableText"/>
              <w:keepNext w:val="0"/>
              <w:spacing w:before="0" w:after="0"/>
              <w:jc w:val="both"/>
              <w:rPr>
                <w:rFonts w:ascii="Arial" w:hAnsi="Arial" w:cs="Arial"/>
                <w:color w:val="auto"/>
                <w:szCs w:val="20"/>
              </w:rPr>
            </w:pPr>
            <w:r>
              <w:rPr>
                <w:rFonts w:ascii="Arial" w:hAnsi="Arial" w:cs="Arial"/>
                <w:color w:val="auto"/>
                <w:szCs w:val="20"/>
              </w:rPr>
              <w:t>These proposals are not clear in their intent. The Cornea and Contact Lens Society of Australia cannot see a benefit in limiting pre-accreditation status to tertiary organisations registered with OCANZ.</w:t>
            </w:r>
          </w:p>
          <w:p w:rsidR="00C82344" w:rsidRDefault="00C82344" w:rsidP="008A32BE">
            <w:pPr>
              <w:pStyle w:val="TableText"/>
              <w:keepNext w:val="0"/>
              <w:spacing w:before="0" w:after="0"/>
              <w:jc w:val="both"/>
              <w:rPr>
                <w:rFonts w:ascii="Arial" w:hAnsi="Arial" w:cs="Arial"/>
                <w:color w:val="auto"/>
                <w:szCs w:val="20"/>
              </w:rPr>
            </w:pPr>
          </w:p>
          <w:p w:rsidR="00C82344" w:rsidRDefault="00C82344" w:rsidP="008A32BE">
            <w:pPr>
              <w:pStyle w:val="TableText"/>
              <w:keepNext w:val="0"/>
              <w:spacing w:before="0" w:after="0"/>
              <w:jc w:val="both"/>
              <w:rPr>
                <w:rFonts w:ascii="Arial" w:hAnsi="Arial" w:cs="Arial"/>
                <w:color w:val="auto"/>
                <w:szCs w:val="20"/>
              </w:rPr>
            </w:pPr>
            <w:r>
              <w:rPr>
                <w:rFonts w:ascii="Arial" w:hAnsi="Arial" w:cs="Arial"/>
                <w:color w:val="auto"/>
                <w:szCs w:val="20"/>
              </w:rPr>
              <w:t xml:space="preserve">The primary outcome of this regulation appears to be to create a discriminatory regime that is biased against large existing CPD providers such as the Cornea and Contact Lens Society of Australia. This discrimination arises in several forms. </w:t>
            </w:r>
          </w:p>
          <w:p w:rsidR="00C82344" w:rsidRDefault="00C82344" w:rsidP="008A32BE">
            <w:pPr>
              <w:pStyle w:val="TableText"/>
              <w:keepNext w:val="0"/>
              <w:spacing w:before="0" w:after="0"/>
              <w:jc w:val="both"/>
              <w:rPr>
                <w:rFonts w:ascii="Arial" w:hAnsi="Arial" w:cs="Arial"/>
                <w:color w:val="auto"/>
                <w:szCs w:val="20"/>
              </w:rPr>
            </w:pPr>
          </w:p>
          <w:p w:rsidR="00C82344" w:rsidRDefault="00C82344" w:rsidP="00C82344">
            <w:pPr>
              <w:pStyle w:val="TableText"/>
              <w:keepNext w:val="0"/>
              <w:numPr>
                <w:ilvl w:val="0"/>
                <w:numId w:val="21"/>
              </w:numPr>
              <w:spacing w:before="0" w:after="0"/>
              <w:jc w:val="both"/>
              <w:rPr>
                <w:rFonts w:ascii="Arial" w:hAnsi="Arial" w:cs="Arial"/>
                <w:color w:val="auto"/>
                <w:szCs w:val="20"/>
              </w:rPr>
            </w:pPr>
            <w:r>
              <w:rPr>
                <w:rFonts w:ascii="Arial" w:hAnsi="Arial" w:cs="Arial"/>
                <w:color w:val="auto"/>
                <w:szCs w:val="20"/>
              </w:rPr>
              <w:t>Selection of a particular group of CPD providers for exclusive pre-accreditation creates an implication that that group is somehow superior to other CPD providers in the eyes of CPD consumers. The use of AHPRA/OBA regulation to enshrine such a perception is poor regulation in the opinion of the Cornea and Contact Lens Society of Australia</w:t>
            </w:r>
          </w:p>
          <w:p w:rsidR="00C82344" w:rsidRDefault="00C82344" w:rsidP="00C82344">
            <w:pPr>
              <w:pStyle w:val="TableText"/>
              <w:keepNext w:val="0"/>
              <w:spacing w:before="0" w:after="0"/>
              <w:ind w:left="720"/>
              <w:jc w:val="both"/>
              <w:rPr>
                <w:rFonts w:ascii="Arial" w:hAnsi="Arial" w:cs="Arial"/>
                <w:color w:val="auto"/>
                <w:szCs w:val="20"/>
              </w:rPr>
            </w:pPr>
          </w:p>
          <w:p w:rsidR="00C82344" w:rsidRDefault="00C82344" w:rsidP="00C82344">
            <w:pPr>
              <w:pStyle w:val="TableText"/>
              <w:keepNext w:val="0"/>
              <w:numPr>
                <w:ilvl w:val="0"/>
                <w:numId w:val="21"/>
              </w:numPr>
              <w:spacing w:before="0" w:after="0"/>
              <w:jc w:val="both"/>
              <w:rPr>
                <w:rFonts w:ascii="Arial" w:hAnsi="Arial" w:cs="Arial"/>
                <w:color w:val="auto"/>
                <w:szCs w:val="20"/>
              </w:rPr>
            </w:pPr>
            <w:r>
              <w:rPr>
                <w:rFonts w:ascii="Arial" w:hAnsi="Arial" w:cs="Arial"/>
                <w:color w:val="auto"/>
                <w:szCs w:val="20"/>
              </w:rPr>
              <w:t xml:space="preserve">Access to pre-accreditation status confers a significant financial advantage in the provision of CPD to optometrists. A pre-accredited provider currently pays a fixed annual fee for the </w:t>
            </w:r>
            <w:r>
              <w:rPr>
                <w:rFonts w:ascii="Arial" w:hAnsi="Arial" w:cs="Arial"/>
                <w:color w:val="auto"/>
                <w:szCs w:val="20"/>
              </w:rPr>
              <w:lastRenderedPageBreak/>
              <w:t>accreditation of their CPD activities. Other large CPD providers such as the Cornea and Contact Lens Society of Australia must pay a fee per event for CPD accreditation. In the 2014-2015 CPD year, the Cornea and Contact Lens Society paid more for CPD accreditation in the first six months of the year than a pre-accredited CPD provider would pay for the entire year. This creates a financial disincentive for other CPD providers to add additional quality CPD events during the CPD year. Therefore the regulation reduces that capacity of CPD providers without pre-accreditation status to provide a diverse range of CPD opportunities to optometrists. This is contrary to the stated aims of the regulation, and the Cornea and Contact Lens Society of Australia contends that no organisation should be placed at a financial disadvantage for being a prolific provider of quality optometric CPD by a regulatory act of AHPRA/OBA</w:t>
            </w:r>
          </w:p>
          <w:p w:rsidR="00C82344" w:rsidRDefault="00C82344" w:rsidP="00C82344">
            <w:pPr>
              <w:pStyle w:val="TableText"/>
              <w:keepNext w:val="0"/>
              <w:spacing w:before="0" w:after="0"/>
              <w:ind w:left="720"/>
              <w:jc w:val="both"/>
              <w:rPr>
                <w:rFonts w:ascii="Arial" w:hAnsi="Arial" w:cs="Arial"/>
                <w:color w:val="auto"/>
                <w:szCs w:val="20"/>
              </w:rPr>
            </w:pPr>
          </w:p>
          <w:p w:rsidR="00BD032E" w:rsidRDefault="00C82344" w:rsidP="00C82344">
            <w:pPr>
              <w:pStyle w:val="TableText"/>
              <w:keepNext w:val="0"/>
              <w:numPr>
                <w:ilvl w:val="0"/>
                <w:numId w:val="21"/>
              </w:numPr>
              <w:spacing w:before="0" w:after="0"/>
              <w:jc w:val="both"/>
              <w:rPr>
                <w:rFonts w:ascii="Arial" w:hAnsi="Arial" w:cs="Arial"/>
                <w:color w:val="auto"/>
                <w:szCs w:val="20"/>
              </w:rPr>
            </w:pPr>
            <w:r>
              <w:rPr>
                <w:rFonts w:ascii="Arial" w:hAnsi="Arial" w:cs="Arial"/>
                <w:color w:val="auto"/>
                <w:szCs w:val="20"/>
              </w:rPr>
              <w:t xml:space="preserve">Discrimination of scale, Universities and tertiary education bodies are very well resourced organisations. The provision of pre-accreditation status to organisations with such large capital resources creates in regulation a significant barrier to entry for new entrants wishing to provide quality CPD to optometrists. </w:t>
            </w:r>
            <w:r w:rsidR="00BD032E">
              <w:rPr>
                <w:rFonts w:ascii="Arial" w:hAnsi="Arial" w:cs="Arial"/>
                <w:color w:val="auto"/>
                <w:szCs w:val="20"/>
              </w:rPr>
              <w:t>The Cornea and Contact Lens Society of Australia feels that this is contrary to the stated aims of providing optometrists with quality CPD options.</w:t>
            </w:r>
          </w:p>
          <w:p w:rsidR="00BD032E" w:rsidRDefault="00BD032E" w:rsidP="00BD032E">
            <w:pPr>
              <w:pStyle w:val="TableText"/>
              <w:keepNext w:val="0"/>
              <w:spacing w:before="0" w:after="0"/>
              <w:jc w:val="both"/>
              <w:rPr>
                <w:rFonts w:ascii="Arial" w:hAnsi="Arial" w:cs="Arial"/>
                <w:color w:val="auto"/>
                <w:szCs w:val="20"/>
              </w:rPr>
            </w:pPr>
          </w:p>
          <w:p w:rsidR="00C82344" w:rsidRDefault="00BD032E" w:rsidP="00C82344">
            <w:pPr>
              <w:pStyle w:val="TableText"/>
              <w:keepNext w:val="0"/>
              <w:numPr>
                <w:ilvl w:val="0"/>
                <w:numId w:val="21"/>
              </w:numPr>
              <w:spacing w:before="0" w:after="0"/>
              <w:jc w:val="both"/>
              <w:rPr>
                <w:rFonts w:ascii="Arial" w:hAnsi="Arial" w:cs="Arial"/>
                <w:color w:val="auto"/>
                <w:szCs w:val="20"/>
              </w:rPr>
            </w:pPr>
            <w:r>
              <w:rPr>
                <w:rFonts w:ascii="Arial" w:hAnsi="Arial" w:cs="Arial"/>
                <w:color w:val="auto"/>
                <w:szCs w:val="20"/>
              </w:rPr>
              <w:t xml:space="preserve">Discrimination in effort required by CPD providers to comply. </w:t>
            </w:r>
            <w:r w:rsidR="00C82344">
              <w:rPr>
                <w:rFonts w:ascii="Arial" w:hAnsi="Arial" w:cs="Arial"/>
                <w:color w:val="auto"/>
                <w:szCs w:val="20"/>
              </w:rPr>
              <w:t xml:space="preserve">This is particularly so in the provision of courses with a broad content base, such as the Fellowship programme offered by the Cornea and Contact Lens Society of Australia. </w:t>
            </w:r>
            <w:r>
              <w:rPr>
                <w:rFonts w:ascii="Arial" w:hAnsi="Arial" w:cs="Arial"/>
                <w:color w:val="auto"/>
                <w:szCs w:val="20"/>
              </w:rPr>
              <w:t>The Cornea and Contact Lens Society of Australia remains concerned that Universities may offer courses of limited scale with ambiguous titles such as ‘Specialist Certificate’ that by their semantic interpretation may imply an education that proffers the conferral of clinical abilities to a level that is not currently recognised in optometric registration by the OBA. Conferral of pre-accreditation status would mean that these courses remain accredited each year, but large programmes such as the Fellowship of the Cornea and Contact Lens Society of Australia will presumably require annual re-approval by a CPD accreditation agency. This annual re-approval requirement creates a significant time cost, and economic cost to re-approve a programme that does not vary significantly from year to year. Pre-accredited providers would not carry this burden. The Cornea and Contact Lens Society of Australia feels that this bias is poor regulation, and creates limitations in the scope of CPD that may be offered to optometrists.</w:t>
            </w:r>
          </w:p>
          <w:p w:rsidR="00BD032E" w:rsidRDefault="00BD032E" w:rsidP="00BD032E">
            <w:pPr>
              <w:pStyle w:val="TableText"/>
              <w:keepNext w:val="0"/>
              <w:spacing w:before="0" w:after="0"/>
              <w:jc w:val="both"/>
              <w:rPr>
                <w:rFonts w:ascii="Arial" w:hAnsi="Arial" w:cs="Arial"/>
                <w:color w:val="auto"/>
                <w:szCs w:val="20"/>
              </w:rPr>
            </w:pPr>
          </w:p>
          <w:p w:rsidR="00BD032E" w:rsidRDefault="00BD032E" w:rsidP="00BD032E">
            <w:pPr>
              <w:pStyle w:val="TableText"/>
              <w:keepNext w:val="0"/>
              <w:spacing w:before="0" w:after="0"/>
              <w:jc w:val="both"/>
              <w:rPr>
                <w:rFonts w:ascii="Arial" w:hAnsi="Arial" w:cs="Arial"/>
                <w:color w:val="auto"/>
                <w:szCs w:val="20"/>
              </w:rPr>
            </w:pPr>
          </w:p>
          <w:p w:rsidR="00A8667B" w:rsidRPr="00B12E0A" w:rsidRDefault="00A8667B" w:rsidP="008A32BE">
            <w:pPr>
              <w:pStyle w:val="TableText"/>
              <w:keepNext w:val="0"/>
              <w:spacing w:before="0" w:after="0"/>
              <w:jc w:val="both"/>
              <w:rPr>
                <w:rFonts w:ascii="Arial" w:hAnsi="Arial" w:cs="Arial"/>
                <w:color w:val="auto"/>
                <w:szCs w:val="20"/>
              </w:rPr>
            </w:pPr>
          </w:p>
          <w:p w:rsidR="004922C9" w:rsidRDefault="00F068F0" w:rsidP="008A32BE">
            <w:pPr>
              <w:pStyle w:val="TableText"/>
              <w:keepNext w:val="0"/>
              <w:spacing w:before="0" w:after="0"/>
              <w:jc w:val="both"/>
              <w:rPr>
                <w:rFonts w:ascii="Arial" w:hAnsi="Arial" w:cs="Arial"/>
                <w:color w:val="auto"/>
                <w:szCs w:val="20"/>
              </w:rPr>
            </w:pPr>
            <w:r>
              <w:rPr>
                <w:rFonts w:ascii="Arial" w:hAnsi="Arial" w:cs="Arial"/>
                <w:color w:val="auto"/>
                <w:szCs w:val="20"/>
              </w:rPr>
              <w:t xml:space="preserve"> </w:t>
            </w:r>
          </w:p>
          <w:p w:rsidR="00F068F0" w:rsidRPr="00B12E0A" w:rsidRDefault="00F068F0" w:rsidP="008A32BE">
            <w:pPr>
              <w:pStyle w:val="TableText"/>
              <w:keepNext w:val="0"/>
              <w:spacing w:before="0" w:after="0"/>
              <w:jc w:val="both"/>
              <w:rPr>
                <w:rFonts w:ascii="Arial" w:hAnsi="Arial" w:cs="Arial"/>
                <w:color w:val="auto"/>
                <w:szCs w:val="20"/>
              </w:rPr>
            </w:pPr>
          </w:p>
        </w:tc>
      </w:tr>
      <w:tr w:rsidR="00547923" w:rsidRPr="0093789E" w:rsidTr="00317411">
        <w:tc>
          <w:tcPr>
            <w:tcW w:w="5000" w:type="pct"/>
            <w:shd w:val="clear" w:color="auto" w:fill="DAEEF3" w:themeFill="accent5" w:themeFillTint="33"/>
          </w:tcPr>
          <w:p w:rsidR="00547923" w:rsidRPr="00394230" w:rsidRDefault="00394230" w:rsidP="00A71957">
            <w:pPr>
              <w:pStyle w:val="TableText"/>
              <w:keepNext w:val="0"/>
              <w:numPr>
                <w:ilvl w:val="0"/>
                <w:numId w:val="7"/>
              </w:numPr>
              <w:spacing w:before="0" w:after="0"/>
              <w:jc w:val="both"/>
              <w:rPr>
                <w:rFonts w:ascii="Arial" w:hAnsi="Arial" w:cs="Arial"/>
                <w:szCs w:val="20"/>
              </w:rPr>
            </w:pPr>
            <w:r w:rsidRPr="00394230">
              <w:rPr>
                <w:rFonts w:ascii="Arial" w:hAnsi="Arial" w:cs="Arial"/>
                <w:szCs w:val="20"/>
              </w:rPr>
              <w:lastRenderedPageBreak/>
              <w:t>Is there any content that needs to be changed or deleted?</w:t>
            </w:r>
          </w:p>
        </w:tc>
      </w:tr>
      <w:tr w:rsidR="00547923" w:rsidRPr="0093789E" w:rsidTr="00317411">
        <w:tc>
          <w:tcPr>
            <w:tcW w:w="5000" w:type="pct"/>
            <w:shd w:val="clear" w:color="auto" w:fill="auto"/>
          </w:tcPr>
          <w:p w:rsidR="00547923" w:rsidRDefault="00547923" w:rsidP="00547923">
            <w:pPr>
              <w:pStyle w:val="TableText"/>
              <w:keepNext w:val="0"/>
              <w:spacing w:before="0" w:after="0"/>
              <w:jc w:val="both"/>
              <w:rPr>
                <w:rFonts w:ascii="Arial" w:hAnsi="Arial" w:cs="Arial"/>
                <w:color w:val="auto"/>
              </w:rPr>
            </w:pPr>
          </w:p>
          <w:p w:rsidR="00547923" w:rsidRDefault="00BD032E" w:rsidP="00547923">
            <w:pPr>
              <w:pStyle w:val="TableText"/>
              <w:keepNext w:val="0"/>
              <w:spacing w:before="0" w:after="0"/>
              <w:jc w:val="both"/>
              <w:rPr>
                <w:rFonts w:ascii="Arial" w:hAnsi="Arial" w:cs="Arial"/>
                <w:color w:val="auto"/>
              </w:rPr>
            </w:pPr>
            <w:r>
              <w:rPr>
                <w:rFonts w:ascii="Arial" w:hAnsi="Arial" w:cs="Arial"/>
                <w:color w:val="auto"/>
              </w:rPr>
              <w:t>The Cornea and Contact Lens Society of Australia believes that the section in Appendix B stating:</w:t>
            </w:r>
          </w:p>
          <w:p w:rsidR="00BD032E" w:rsidRDefault="00BD032E" w:rsidP="00547923">
            <w:pPr>
              <w:pStyle w:val="TableText"/>
              <w:keepNext w:val="0"/>
              <w:spacing w:before="0" w:after="0"/>
              <w:jc w:val="both"/>
              <w:rPr>
                <w:rFonts w:ascii="Arial" w:hAnsi="Arial" w:cs="Arial"/>
                <w:color w:val="auto"/>
              </w:rPr>
            </w:pPr>
          </w:p>
          <w:p w:rsidR="00BD032E" w:rsidRDefault="00BD032E" w:rsidP="00547923">
            <w:pPr>
              <w:pStyle w:val="TableText"/>
              <w:keepNext w:val="0"/>
              <w:spacing w:before="0" w:after="0"/>
              <w:jc w:val="both"/>
              <w:rPr>
                <w:rFonts w:ascii="Arial" w:hAnsi="Arial" w:cs="Arial"/>
                <w:color w:val="auto"/>
              </w:rPr>
            </w:pPr>
            <w:r>
              <w:rPr>
                <w:rFonts w:ascii="Arial" w:hAnsi="Arial" w:cs="Arial"/>
                <w:color w:val="auto"/>
              </w:rPr>
              <w:t xml:space="preserve">“be a tertiary institution or an entity affiliated with a tertiary institution which is subject to an external accreditation and audit process, and” </w:t>
            </w:r>
          </w:p>
          <w:p w:rsidR="00BD032E" w:rsidRDefault="00BD032E" w:rsidP="00547923">
            <w:pPr>
              <w:pStyle w:val="TableText"/>
              <w:keepNext w:val="0"/>
              <w:spacing w:before="0" w:after="0"/>
              <w:jc w:val="both"/>
              <w:rPr>
                <w:rFonts w:ascii="Arial" w:hAnsi="Arial" w:cs="Arial"/>
                <w:color w:val="auto"/>
              </w:rPr>
            </w:pPr>
          </w:p>
          <w:p w:rsidR="00BD032E" w:rsidRDefault="00BD032E" w:rsidP="00547923">
            <w:pPr>
              <w:pStyle w:val="TableText"/>
              <w:keepNext w:val="0"/>
              <w:spacing w:before="0" w:after="0"/>
              <w:jc w:val="both"/>
              <w:rPr>
                <w:rFonts w:ascii="Arial" w:hAnsi="Arial" w:cs="Arial"/>
                <w:color w:val="auto"/>
              </w:rPr>
            </w:pPr>
            <w:r>
              <w:rPr>
                <w:rFonts w:ascii="Arial" w:hAnsi="Arial" w:cs="Arial"/>
                <w:color w:val="auto"/>
              </w:rPr>
              <w:t>should be removed and the word “,and” appended to the bullet point:</w:t>
            </w:r>
          </w:p>
          <w:p w:rsidR="00BD032E" w:rsidRDefault="00BD032E" w:rsidP="00547923">
            <w:pPr>
              <w:pStyle w:val="TableText"/>
              <w:keepNext w:val="0"/>
              <w:spacing w:before="0" w:after="0"/>
              <w:jc w:val="both"/>
              <w:rPr>
                <w:rFonts w:ascii="Arial" w:hAnsi="Arial" w:cs="Arial"/>
                <w:color w:val="auto"/>
              </w:rPr>
            </w:pPr>
          </w:p>
          <w:p w:rsidR="00BD032E" w:rsidRDefault="00BD032E" w:rsidP="00547923">
            <w:pPr>
              <w:pStyle w:val="TableText"/>
              <w:keepNext w:val="0"/>
              <w:spacing w:before="0" w:after="0"/>
              <w:jc w:val="both"/>
              <w:rPr>
                <w:rFonts w:ascii="Arial" w:hAnsi="Arial" w:cs="Arial"/>
                <w:color w:val="auto"/>
              </w:rPr>
            </w:pPr>
            <w:r>
              <w:rPr>
                <w:rFonts w:ascii="Arial" w:hAnsi="Arial" w:cs="Arial"/>
                <w:color w:val="auto"/>
              </w:rPr>
              <w:t>“have adequate expertise in providing quality education at a standard that is appropriate to Australian optometrists”</w:t>
            </w:r>
          </w:p>
          <w:p w:rsidR="00BD032E" w:rsidRDefault="00BD032E" w:rsidP="00547923">
            <w:pPr>
              <w:pStyle w:val="TableText"/>
              <w:keepNext w:val="0"/>
              <w:spacing w:before="0" w:after="0"/>
              <w:jc w:val="both"/>
              <w:rPr>
                <w:rFonts w:ascii="Arial" w:hAnsi="Arial" w:cs="Arial"/>
                <w:color w:val="auto"/>
              </w:rPr>
            </w:pPr>
          </w:p>
          <w:p w:rsidR="00BD032E" w:rsidRDefault="00BD032E" w:rsidP="00547923">
            <w:pPr>
              <w:pStyle w:val="TableText"/>
              <w:keepNext w:val="0"/>
              <w:spacing w:before="0" w:after="0"/>
              <w:jc w:val="both"/>
              <w:rPr>
                <w:rFonts w:ascii="Arial" w:hAnsi="Arial" w:cs="Arial"/>
                <w:color w:val="auto"/>
              </w:rPr>
            </w:pPr>
            <w:r>
              <w:rPr>
                <w:rFonts w:ascii="Arial" w:hAnsi="Arial" w:cs="Arial"/>
                <w:color w:val="auto"/>
              </w:rPr>
              <w:t xml:space="preserve">The Cornea and Contact Lens Society of Australia believes that the wording that we propose to remove is unnecessary restrictive and is unnecessarily biased against longstanding </w:t>
            </w:r>
            <w:r w:rsidR="00542531">
              <w:rPr>
                <w:rFonts w:ascii="Arial" w:hAnsi="Arial" w:cs="Arial"/>
                <w:color w:val="auto"/>
              </w:rPr>
              <w:t>groups that have education as their core focus such as the Cornea and Contact Lens Society of Australia. We note that the Cornea and Contact Lens Society of Australia was not contacted for an opinion in the period leading up to the call for public consultation. The Cornea and Contact Lens Society of Australia is a Society established in 1962 for the primary purpose of improving the education of optometrists in the field of contact lens practice.</w:t>
            </w:r>
          </w:p>
          <w:p w:rsidR="00542531" w:rsidRDefault="00542531" w:rsidP="00547923">
            <w:pPr>
              <w:pStyle w:val="TableText"/>
              <w:keepNext w:val="0"/>
              <w:spacing w:before="0" w:after="0"/>
              <w:jc w:val="both"/>
              <w:rPr>
                <w:rFonts w:ascii="Arial" w:hAnsi="Arial" w:cs="Arial"/>
                <w:color w:val="auto"/>
              </w:rPr>
            </w:pPr>
            <w:r>
              <w:rPr>
                <w:rFonts w:ascii="Arial" w:hAnsi="Arial" w:cs="Arial"/>
                <w:color w:val="auto"/>
              </w:rPr>
              <w:t>Should the OBA decide to persist with the current wording, the Cornea and Contact Lens Society of Australia would prefer a better definition of the term “affiliated with a tertiary institution” and a better definition of “an external accreditation and audit process”. These are vague terms that do not appear to have context and thus do not satisfy the OBA’s stated intent of improving clarity regarding the Criteria for gaining approved provider status.</w:t>
            </w:r>
          </w:p>
          <w:p w:rsidR="00542531" w:rsidRDefault="00542531" w:rsidP="00547923">
            <w:pPr>
              <w:pStyle w:val="TableText"/>
              <w:keepNext w:val="0"/>
              <w:spacing w:before="0" w:after="0"/>
              <w:jc w:val="both"/>
              <w:rPr>
                <w:rFonts w:ascii="Arial" w:hAnsi="Arial" w:cs="Arial"/>
                <w:color w:val="auto"/>
              </w:rPr>
            </w:pPr>
          </w:p>
          <w:p w:rsidR="00542531" w:rsidRDefault="00542531" w:rsidP="00542531">
            <w:pPr>
              <w:pStyle w:val="TableText"/>
              <w:keepNext w:val="0"/>
              <w:numPr>
                <w:ilvl w:val="0"/>
                <w:numId w:val="22"/>
              </w:numPr>
              <w:spacing w:before="0" w:after="0"/>
              <w:jc w:val="both"/>
              <w:rPr>
                <w:rFonts w:ascii="Arial" w:hAnsi="Arial" w:cs="Arial"/>
                <w:color w:val="auto"/>
              </w:rPr>
            </w:pPr>
            <w:r>
              <w:rPr>
                <w:rFonts w:ascii="Arial" w:hAnsi="Arial" w:cs="Arial"/>
                <w:color w:val="auto"/>
              </w:rPr>
              <w:t>Does affiliation mean that a CPD provider need only have a tertiary organisation provide a portion of a larger CPD programme?</w:t>
            </w:r>
          </w:p>
          <w:p w:rsidR="00542531" w:rsidRDefault="00542531" w:rsidP="00547923">
            <w:pPr>
              <w:pStyle w:val="TableText"/>
              <w:keepNext w:val="0"/>
              <w:spacing w:before="0" w:after="0"/>
              <w:jc w:val="both"/>
              <w:rPr>
                <w:rFonts w:ascii="Arial" w:hAnsi="Arial" w:cs="Arial"/>
                <w:color w:val="auto"/>
              </w:rPr>
            </w:pPr>
          </w:p>
          <w:p w:rsidR="00542531" w:rsidRDefault="00542531" w:rsidP="00542531">
            <w:pPr>
              <w:pStyle w:val="TableText"/>
              <w:keepNext w:val="0"/>
              <w:numPr>
                <w:ilvl w:val="0"/>
                <w:numId w:val="22"/>
              </w:numPr>
              <w:spacing w:before="0" w:after="0"/>
              <w:jc w:val="both"/>
              <w:rPr>
                <w:rFonts w:ascii="Arial" w:hAnsi="Arial" w:cs="Arial"/>
                <w:color w:val="auto"/>
              </w:rPr>
            </w:pPr>
            <w:r>
              <w:rPr>
                <w:rFonts w:ascii="Arial" w:hAnsi="Arial" w:cs="Arial"/>
                <w:color w:val="auto"/>
              </w:rPr>
              <w:t>Does affiliation mean that a CPD provider forms an educational association or group with a tertiary organisation?</w:t>
            </w:r>
          </w:p>
          <w:p w:rsidR="00542531" w:rsidRDefault="00542531" w:rsidP="00547923">
            <w:pPr>
              <w:pStyle w:val="TableText"/>
              <w:keepNext w:val="0"/>
              <w:spacing w:before="0" w:after="0"/>
              <w:jc w:val="both"/>
              <w:rPr>
                <w:rFonts w:ascii="Arial" w:hAnsi="Arial" w:cs="Arial"/>
                <w:color w:val="auto"/>
              </w:rPr>
            </w:pPr>
          </w:p>
          <w:p w:rsidR="00542531" w:rsidRDefault="00542531" w:rsidP="00542531">
            <w:pPr>
              <w:pStyle w:val="TableText"/>
              <w:keepNext w:val="0"/>
              <w:numPr>
                <w:ilvl w:val="0"/>
                <w:numId w:val="22"/>
              </w:numPr>
              <w:spacing w:before="0" w:after="0"/>
              <w:jc w:val="both"/>
              <w:rPr>
                <w:rFonts w:ascii="Arial" w:hAnsi="Arial" w:cs="Arial"/>
                <w:color w:val="auto"/>
              </w:rPr>
            </w:pPr>
            <w:r>
              <w:rPr>
                <w:rFonts w:ascii="Arial" w:hAnsi="Arial" w:cs="Arial"/>
                <w:color w:val="auto"/>
              </w:rPr>
              <w:t>Does affiliation imply that tertiary organisations have an ability to confer their approved provider status to other CPD providers without further OBA oversight?</w:t>
            </w:r>
          </w:p>
          <w:p w:rsidR="00542531" w:rsidRDefault="00542531" w:rsidP="00547923">
            <w:pPr>
              <w:pStyle w:val="TableText"/>
              <w:keepNext w:val="0"/>
              <w:spacing w:before="0" w:after="0"/>
              <w:jc w:val="both"/>
              <w:rPr>
                <w:rFonts w:ascii="Arial" w:hAnsi="Arial" w:cs="Arial"/>
                <w:color w:val="auto"/>
              </w:rPr>
            </w:pPr>
          </w:p>
          <w:p w:rsidR="00542531" w:rsidRDefault="00542531" w:rsidP="00542531">
            <w:pPr>
              <w:pStyle w:val="TableText"/>
              <w:keepNext w:val="0"/>
              <w:numPr>
                <w:ilvl w:val="0"/>
                <w:numId w:val="22"/>
              </w:numPr>
              <w:spacing w:before="0" w:after="0"/>
              <w:jc w:val="both"/>
              <w:rPr>
                <w:rFonts w:ascii="Arial" w:hAnsi="Arial" w:cs="Arial"/>
                <w:color w:val="auto"/>
              </w:rPr>
            </w:pPr>
            <w:r>
              <w:rPr>
                <w:rFonts w:ascii="Arial" w:hAnsi="Arial" w:cs="Arial"/>
                <w:color w:val="auto"/>
              </w:rPr>
              <w:t>What is an appropriate external accreditation and audit process?</w:t>
            </w:r>
          </w:p>
          <w:p w:rsidR="00542531" w:rsidRDefault="00542531" w:rsidP="00547923">
            <w:pPr>
              <w:pStyle w:val="TableText"/>
              <w:keepNext w:val="0"/>
              <w:spacing w:before="0" w:after="0"/>
              <w:jc w:val="both"/>
              <w:rPr>
                <w:rFonts w:ascii="Arial" w:hAnsi="Arial" w:cs="Arial"/>
                <w:color w:val="auto"/>
              </w:rPr>
            </w:pPr>
          </w:p>
          <w:p w:rsidR="00542531" w:rsidRDefault="00542531" w:rsidP="00542531">
            <w:pPr>
              <w:pStyle w:val="TableText"/>
              <w:keepNext w:val="0"/>
              <w:numPr>
                <w:ilvl w:val="0"/>
                <w:numId w:val="22"/>
              </w:numPr>
              <w:spacing w:before="0" w:after="0"/>
              <w:jc w:val="both"/>
              <w:rPr>
                <w:rFonts w:ascii="Arial" w:hAnsi="Arial" w:cs="Arial"/>
                <w:color w:val="auto"/>
              </w:rPr>
            </w:pPr>
            <w:r>
              <w:rPr>
                <w:rFonts w:ascii="Arial" w:hAnsi="Arial" w:cs="Arial"/>
                <w:color w:val="auto"/>
              </w:rPr>
              <w:t>If the external accreditation and audit process means OCANZ accreditation, does this mean that OCANZ accreditation will be open to all courses that may be provided by CPD providers that meet the affiliation with a tertiary organisation criteria?</w:t>
            </w:r>
          </w:p>
          <w:p w:rsidR="00542531" w:rsidRDefault="00542531" w:rsidP="00547923">
            <w:pPr>
              <w:pStyle w:val="TableText"/>
              <w:keepNext w:val="0"/>
              <w:spacing w:before="0" w:after="0"/>
              <w:jc w:val="both"/>
              <w:rPr>
                <w:rFonts w:ascii="Arial" w:hAnsi="Arial" w:cs="Arial"/>
                <w:color w:val="auto"/>
              </w:rPr>
            </w:pPr>
          </w:p>
          <w:p w:rsidR="00542531" w:rsidRDefault="00542531" w:rsidP="00547923">
            <w:pPr>
              <w:pStyle w:val="TableText"/>
              <w:keepNext w:val="0"/>
              <w:spacing w:before="0" w:after="0"/>
              <w:jc w:val="both"/>
              <w:rPr>
                <w:rFonts w:ascii="Arial" w:hAnsi="Arial" w:cs="Arial"/>
                <w:color w:val="auto"/>
              </w:rPr>
            </w:pPr>
            <w:r>
              <w:rPr>
                <w:rFonts w:ascii="Arial" w:hAnsi="Arial" w:cs="Arial"/>
                <w:color w:val="auto"/>
              </w:rPr>
              <w:t>In summary, the Cornea and Contact Lens Society of Australia contends that the proposed revisions do not clarify the situation for either CPD providers nor CPD consumers.</w:t>
            </w:r>
          </w:p>
          <w:p w:rsidR="00F068F0" w:rsidRDefault="00F068F0" w:rsidP="00547923">
            <w:pPr>
              <w:pStyle w:val="TableText"/>
              <w:keepNext w:val="0"/>
              <w:spacing w:before="0" w:after="0"/>
              <w:jc w:val="both"/>
              <w:rPr>
                <w:rFonts w:ascii="Arial" w:hAnsi="Arial" w:cs="Arial"/>
                <w:color w:val="auto"/>
              </w:rPr>
            </w:pPr>
          </w:p>
          <w:p w:rsidR="00A8667B" w:rsidRDefault="00A8667B" w:rsidP="00547923">
            <w:pPr>
              <w:pStyle w:val="TableText"/>
              <w:keepNext w:val="0"/>
              <w:spacing w:before="0" w:after="0"/>
              <w:jc w:val="both"/>
              <w:rPr>
                <w:rFonts w:ascii="Arial" w:hAnsi="Arial" w:cs="Arial"/>
                <w:color w:val="auto"/>
              </w:rPr>
            </w:pPr>
          </w:p>
          <w:p w:rsidR="00547923" w:rsidRPr="0093789E" w:rsidRDefault="00547923" w:rsidP="00547923">
            <w:pPr>
              <w:pStyle w:val="TableText"/>
              <w:keepNext w:val="0"/>
              <w:spacing w:before="0" w:after="0"/>
              <w:jc w:val="both"/>
              <w:rPr>
                <w:rFonts w:ascii="Arial" w:hAnsi="Arial" w:cs="Arial"/>
                <w:color w:val="auto"/>
              </w:rPr>
            </w:pPr>
          </w:p>
        </w:tc>
      </w:tr>
      <w:tr w:rsidR="00547923" w:rsidRPr="0093789E" w:rsidTr="00317411">
        <w:tc>
          <w:tcPr>
            <w:tcW w:w="5000" w:type="pct"/>
            <w:shd w:val="clear" w:color="auto" w:fill="DAEEF3" w:themeFill="accent5" w:themeFillTint="33"/>
          </w:tcPr>
          <w:p w:rsidR="00547923" w:rsidRPr="00394230" w:rsidRDefault="00394230" w:rsidP="00A71957">
            <w:pPr>
              <w:pStyle w:val="TableText"/>
              <w:keepNext w:val="0"/>
              <w:numPr>
                <w:ilvl w:val="0"/>
                <w:numId w:val="7"/>
              </w:numPr>
              <w:spacing w:before="0" w:after="0"/>
              <w:jc w:val="both"/>
              <w:rPr>
                <w:rFonts w:ascii="Arial" w:hAnsi="Arial" w:cs="Arial"/>
                <w:szCs w:val="20"/>
              </w:rPr>
            </w:pPr>
            <w:r w:rsidRPr="00394230">
              <w:rPr>
                <w:rFonts w:ascii="Arial" w:hAnsi="Arial" w:cs="Arial"/>
                <w:szCs w:val="20"/>
              </w:rPr>
              <w:t>Is there anything missing that needs to be added?</w:t>
            </w:r>
          </w:p>
        </w:tc>
      </w:tr>
      <w:tr w:rsidR="00547923" w:rsidRPr="0093789E" w:rsidTr="00317411">
        <w:tc>
          <w:tcPr>
            <w:tcW w:w="5000" w:type="pct"/>
          </w:tcPr>
          <w:p w:rsidR="00547923" w:rsidRDefault="00547923" w:rsidP="00547923">
            <w:pPr>
              <w:pStyle w:val="TableText"/>
              <w:keepNext w:val="0"/>
              <w:spacing w:before="0" w:after="0"/>
              <w:jc w:val="both"/>
              <w:rPr>
                <w:rFonts w:ascii="Arial" w:hAnsi="Arial" w:cs="Arial"/>
                <w:color w:val="auto"/>
              </w:rPr>
            </w:pPr>
          </w:p>
          <w:p w:rsidR="007E2502" w:rsidRDefault="00542531" w:rsidP="00547923">
            <w:pPr>
              <w:pStyle w:val="TableText"/>
              <w:keepNext w:val="0"/>
              <w:spacing w:before="0" w:after="0"/>
              <w:jc w:val="both"/>
              <w:rPr>
                <w:rFonts w:ascii="Arial" w:hAnsi="Arial" w:cs="Arial"/>
                <w:color w:val="auto"/>
              </w:rPr>
            </w:pPr>
            <w:r>
              <w:rPr>
                <w:rFonts w:ascii="Arial" w:hAnsi="Arial" w:cs="Arial"/>
                <w:color w:val="auto"/>
              </w:rPr>
              <w:t xml:space="preserve">The Cornea and Contact Lens Society of Australia feels that the addition of clarification regarding terminology used is necessary to inform all the participants in the CPD space of the OBA intentions. We refer the OBA to our statements in answer to Questions 1 and 2. </w:t>
            </w:r>
          </w:p>
          <w:p w:rsidR="007E2502" w:rsidRDefault="007E2502" w:rsidP="00547923">
            <w:pPr>
              <w:pStyle w:val="TableText"/>
              <w:keepNext w:val="0"/>
              <w:spacing w:before="0" w:after="0"/>
              <w:jc w:val="both"/>
              <w:rPr>
                <w:rFonts w:ascii="Arial" w:hAnsi="Arial" w:cs="Arial"/>
                <w:color w:val="auto"/>
              </w:rPr>
            </w:pPr>
          </w:p>
          <w:p w:rsidR="007E2502" w:rsidRDefault="007E2502" w:rsidP="00547923">
            <w:pPr>
              <w:pStyle w:val="TableText"/>
              <w:keepNext w:val="0"/>
              <w:spacing w:before="0" w:after="0"/>
              <w:jc w:val="both"/>
              <w:rPr>
                <w:rFonts w:ascii="Arial" w:hAnsi="Arial" w:cs="Arial"/>
                <w:color w:val="auto"/>
              </w:rPr>
            </w:pPr>
          </w:p>
          <w:p w:rsidR="00547923" w:rsidRPr="0093789E" w:rsidRDefault="00547923" w:rsidP="00547923">
            <w:pPr>
              <w:pStyle w:val="TableText"/>
              <w:keepNext w:val="0"/>
              <w:spacing w:before="0" w:after="0"/>
              <w:jc w:val="both"/>
              <w:rPr>
                <w:rFonts w:ascii="Arial" w:hAnsi="Arial" w:cs="Arial"/>
                <w:color w:val="auto"/>
              </w:rPr>
            </w:pPr>
          </w:p>
        </w:tc>
      </w:tr>
      <w:tr w:rsidR="00F06263" w:rsidRPr="0093789E" w:rsidTr="00317411">
        <w:tc>
          <w:tcPr>
            <w:tcW w:w="5000" w:type="pct"/>
            <w:shd w:val="clear" w:color="auto" w:fill="DAEEF3" w:themeFill="accent5" w:themeFillTint="33"/>
          </w:tcPr>
          <w:p w:rsidR="00F06263" w:rsidRPr="00946BCE" w:rsidRDefault="00F06263" w:rsidP="00547923">
            <w:pPr>
              <w:pStyle w:val="TableText"/>
              <w:keepNext w:val="0"/>
              <w:numPr>
                <w:ilvl w:val="0"/>
                <w:numId w:val="7"/>
              </w:numPr>
              <w:spacing w:before="0" w:after="0"/>
              <w:jc w:val="both"/>
              <w:rPr>
                <w:rFonts w:ascii="Arial" w:hAnsi="Arial" w:cs="Arial"/>
                <w:color w:val="auto"/>
                <w:szCs w:val="20"/>
              </w:rPr>
            </w:pPr>
            <w:r w:rsidRPr="00946BCE">
              <w:rPr>
                <w:rFonts w:ascii="Arial" w:hAnsi="Arial" w:cs="Arial"/>
                <w:color w:val="auto"/>
                <w:szCs w:val="20"/>
              </w:rPr>
              <w:t>Are there any practical issues encountered for the assessment of CPD activities?</w:t>
            </w:r>
          </w:p>
        </w:tc>
      </w:tr>
      <w:tr w:rsidR="00F06263" w:rsidRPr="0093789E" w:rsidTr="00317411">
        <w:trPr>
          <w:trHeight w:val="1466"/>
        </w:trPr>
        <w:tc>
          <w:tcPr>
            <w:tcW w:w="5000" w:type="pct"/>
          </w:tcPr>
          <w:p w:rsidR="00F06263" w:rsidRDefault="00F06263" w:rsidP="00547923">
            <w:pPr>
              <w:pStyle w:val="TableText"/>
              <w:keepNext w:val="0"/>
              <w:spacing w:before="0" w:after="0"/>
              <w:jc w:val="both"/>
              <w:rPr>
                <w:rFonts w:ascii="Arial" w:hAnsi="Arial" w:cs="Arial"/>
                <w:color w:val="auto"/>
              </w:rPr>
            </w:pPr>
          </w:p>
          <w:p w:rsidR="00542531" w:rsidRDefault="00542531" w:rsidP="00547923">
            <w:pPr>
              <w:pStyle w:val="TableText"/>
              <w:keepNext w:val="0"/>
              <w:spacing w:before="0" w:after="0"/>
              <w:jc w:val="both"/>
              <w:rPr>
                <w:rFonts w:ascii="Arial" w:hAnsi="Arial" w:cs="Arial"/>
                <w:color w:val="auto"/>
              </w:rPr>
            </w:pPr>
            <w:r>
              <w:rPr>
                <w:rFonts w:ascii="Arial" w:hAnsi="Arial" w:cs="Arial"/>
                <w:color w:val="auto"/>
              </w:rPr>
              <w:t>The practical issues encountered for the assessment of CPD activities that are encountered by the Cornea and Contact Lens Society of Australia are largely in terms of the excessively long lead times required by the Accreditation Agency for the accreditation of CPD activities. We note that these times have not shortened from the era that a similar CPD scheme was operated by Optometry Australia despite immense developments in electronic communication. We feel that the OBA should act more strongly to require timely and rapid accreditation of CPD events to promote the proliferation of CPD events that may be offered to optometrists.</w:t>
            </w:r>
          </w:p>
          <w:p w:rsidR="00542531" w:rsidRDefault="00542531" w:rsidP="00547923">
            <w:pPr>
              <w:pStyle w:val="TableText"/>
              <w:keepNext w:val="0"/>
              <w:spacing w:before="0" w:after="0"/>
              <w:jc w:val="both"/>
              <w:rPr>
                <w:rFonts w:ascii="Arial" w:hAnsi="Arial" w:cs="Arial"/>
                <w:color w:val="auto"/>
              </w:rPr>
            </w:pPr>
          </w:p>
        </w:tc>
      </w:tr>
      <w:tr w:rsidR="00B92506" w:rsidRPr="0093789E" w:rsidTr="00317411">
        <w:tc>
          <w:tcPr>
            <w:tcW w:w="5000" w:type="pct"/>
            <w:shd w:val="clear" w:color="auto" w:fill="DAEEF3" w:themeFill="accent5" w:themeFillTint="33"/>
          </w:tcPr>
          <w:p w:rsidR="00B92506" w:rsidRPr="00394230" w:rsidRDefault="00F068F0" w:rsidP="00A71957">
            <w:pPr>
              <w:pStyle w:val="TableText"/>
              <w:keepNext w:val="0"/>
              <w:numPr>
                <w:ilvl w:val="0"/>
                <w:numId w:val="7"/>
              </w:numPr>
              <w:spacing w:before="0" w:after="0"/>
              <w:jc w:val="both"/>
              <w:rPr>
                <w:rFonts w:ascii="Arial" w:hAnsi="Arial" w:cs="Arial"/>
                <w:szCs w:val="20"/>
              </w:rPr>
            </w:pPr>
            <w:r w:rsidRPr="00394230">
              <w:rPr>
                <w:rFonts w:ascii="Arial" w:hAnsi="Arial" w:cs="Arial"/>
                <w:szCs w:val="20"/>
              </w:rPr>
              <w:t>Do you have any other comments?</w:t>
            </w:r>
          </w:p>
        </w:tc>
      </w:tr>
      <w:tr w:rsidR="00B92506" w:rsidRPr="0093789E" w:rsidTr="00317411">
        <w:tc>
          <w:tcPr>
            <w:tcW w:w="5000" w:type="pct"/>
          </w:tcPr>
          <w:p w:rsidR="00B92506" w:rsidRDefault="00B92506" w:rsidP="00B92506">
            <w:pPr>
              <w:pStyle w:val="TableText"/>
              <w:keepNext w:val="0"/>
              <w:spacing w:before="0" w:after="0"/>
              <w:jc w:val="both"/>
              <w:rPr>
                <w:rFonts w:ascii="Arial" w:hAnsi="Arial" w:cs="Arial"/>
                <w:color w:val="auto"/>
              </w:rPr>
            </w:pPr>
          </w:p>
          <w:p w:rsidR="004A7DB6" w:rsidRDefault="004A7DB6" w:rsidP="00B92506">
            <w:pPr>
              <w:pStyle w:val="TableText"/>
              <w:keepNext w:val="0"/>
              <w:spacing w:before="0" w:after="0"/>
              <w:jc w:val="both"/>
              <w:rPr>
                <w:rFonts w:ascii="Arial" w:hAnsi="Arial" w:cs="Arial"/>
                <w:color w:val="auto"/>
              </w:rPr>
            </w:pPr>
            <w:r>
              <w:rPr>
                <w:rFonts w:ascii="Arial" w:hAnsi="Arial" w:cs="Arial"/>
                <w:color w:val="auto"/>
              </w:rPr>
              <w:t>The Cornea and Contact Lens Society of Australia feels that the OBA should consult more widely with existing large CPD providers in periods leading to such proposals to changing the Guidelines.</w:t>
            </w:r>
          </w:p>
          <w:p w:rsidR="004A7DB6" w:rsidRDefault="004A7DB6" w:rsidP="00B92506">
            <w:pPr>
              <w:pStyle w:val="TableText"/>
              <w:keepNext w:val="0"/>
              <w:spacing w:before="0" w:after="0"/>
              <w:jc w:val="both"/>
              <w:rPr>
                <w:rFonts w:ascii="Arial" w:hAnsi="Arial" w:cs="Arial"/>
                <w:color w:val="auto"/>
              </w:rPr>
            </w:pPr>
            <w:r>
              <w:rPr>
                <w:rFonts w:ascii="Arial" w:hAnsi="Arial" w:cs="Arial"/>
                <w:color w:val="auto"/>
              </w:rPr>
              <w:t>The Cornea and Contact Lens Society of Australia is concerned about the OBA statement that it does not posses the required expertise to undertake objectives that it states at the beginning of the proposal. We are concerned that if the OBA does not feel that it has the expertise then the OBA should be cautious in creating guidelines or regulations that create discrimination amongst individual CPD providers. We further feel that the OBA would be well served in acquiring this expertise.</w:t>
            </w:r>
          </w:p>
          <w:p w:rsidR="007E2502" w:rsidRDefault="007E2502" w:rsidP="00B92506">
            <w:pPr>
              <w:pStyle w:val="TableText"/>
              <w:keepNext w:val="0"/>
              <w:spacing w:before="0" w:after="0"/>
              <w:jc w:val="both"/>
              <w:rPr>
                <w:rFonts w:ascii="Arial" w:hAnsi="Arial" w:cs="Arial"/>
                <w:color w:val="auto"/>
              </w:rPr>
            </w:pPr>
          </w:p>
          <w:p w:rsidR="007E2502" w:rsidRDefault="007E2502" w:rsidP="00B92506">
            <w:pPr>
              <w:pStyle w:val="TableText"/>
              <w:keepNext w:val="0"/>
              <w:spacing w:before="0" w:after="0"/>
              <w:jc w:val="both"/>
              <w:rPr>
                <w:rFonts w:ascii="Arial" w:hAnsi="Arial" w:cs="Arial"/>
                <w:color w:val="auto"/>
              </w:rPr>
            </w:pPr>
          </w:p>
          <w:p w:rsidR="006469FA" w:rsidRDefault="006469FA" w:rsidP="00B92506">
            <w:pPr>
              <w:pStyle w:val="TableText"/>
              <w:keepNext w:val="0"/>
              <w:spacing w:before="0" w:after="0"/>
              <w:jc w:val="both"/>
              <w:rPr>
                <w:rFonts w:ascii="Arial" w:hAnsi="Arial" w:cs="Arial"/>
                <w:color w:val="auto"/>
              </w:rPr>
            </w:pPr>
          </w:p>
          <w:p w:rsidR="00B92506" w:rsidRPr="0093789E" w:rsidRDefault="00B92506" w:rsidP="00B92506">
            <w:pPr>
              <w:pStyle w:val="TableText"/>
              <w:keepNext w:val="0"/>
              <w:spacing w:before="0" w:after="0"/>
              <w:jc w:val="both"/>
              <w:rPr>
                <w:rFonts w:ascii="Arial" w:hAnsi="Arial" w:cs="Arial"/>
                <w:color w:val="auto"/>
              </w:rPr>
            </w:pPr>
          </w:p>
        </w:tc>
      </w:tr>
      <w:tr w:rsidR="00317411" w:rsidRPr="0093789E" w:rsidTr="00317411">
        <w:tc>
          <w:tcPr>
            <w:tcW w:w="5000" w:type="pct"/>
          </w:tcPr>
          <w:p w:rsidR="00317411" w:rsidRDefault="00A71957" w:rsidP="00742C92">
            <w:pPr>
              <w:pStyle w:val="TableText"/>
              <w:keepNext w:val="0"/>
              <w:rPr>
                <w:rFonts w:ascii="Arial" w:hAnsi="Arial" w:cs="Arial"/>
                <w:b/>
                <w:color w:val="auto"/>
                <w:szCs w:val="20"/>
              </w:rPr>
            </w:pPr>
            <w:r>
              <w:rPr>
                <w:rFonts w:ascii="Arial" w:hAnsi="Arial" w:cs="Arial"/>
                <w:b/>
                <w:color w:val="auto"/>
                <w:szCs w:val="20"/>
              </w:rPr>
              <w:t>Proposed r</w:t>
            </w:r>
            <w:r w:rsidR="00317411">
              <w:rPr>
                <w:rFonts w:ascii="Arial" w:hAnsi="Arial" w:cs="Arial"/>
                <w:b/>
                <w:color w:val="auto"/>
                <w:szCs w:val="20"/>
              </w:rPr>
              <w:t>evised guidelines o</w:t>
            </w:r>
            <w:r w:rsidR="00D6566F">
              <w:rPr>
                <w:rFonts w:ascii="Arial" w:hAnsi="Arial" w:cs="Arial"/>
                <w:b/>
                <w:color w:val="auto"/>
                <w:szCs w:val="20"/>
              </w:rPr>
              <w:t>n</w:t>
            </w:r>
            <w:r w:rsidR="00317411">
              <w:rPr>
                <w:rFonts w:ascii="Arial" w:hAnsi="Arial" w:cs="Arial"/>
                <w:b/>
                <w:color w:val="auto"/>
                <w:szCs w:val="20"/>
              </w:rPr>
              <w:t xml:space="preserve"> the prescription of optical appliances</w:t>
            </w:r>
          </w:p>
          <w:p w:rsidR="00317411" w:rsidRPr="0093789E" w:rsidRDefault="00317411" w:rsidP="00742C92">
            <w:pPr>
              <w:pStyle w:val="TableText"/>
              <w:keepNext w:val="0"/>
              <w:rPr>
                <w:rFonts w:ascii="Arial" w:hAnsi="Arial" w:cs="Arial"/>
                <w:b/>
                <w:color w:val="auto"/>
                <w:szCs w:val="20"/>
              </w:rPr>
            </w:pPr>
            <w:r>
              <w:rPr>
                <w:rFonts w:ascii="Arial" w:hAnsi="Arial" w:cs="Arial"/>
                <w:i/>
                <w:color w:val="auto"/>
                <w:szCs w:val="20"/>
              </w:rPr>
              <w:t>Please provide your responses to any or all questions in the blank boxes below</w:t>
            </w:r>
          </w:p>
        </w:tc>
      </w:tr>
      <w:tr w:rsidR="00317411" w:rsidRPr="0093789E" w:rsidTr="004A2ECE">
        <w:tc>
          <w:tcPr>
            <w:tcW w:w="5000" w:type="pct"/>
            <w:shd w:val="clear" w:color="auto" w:fill="DAEEF3" w:themeFill="accent5" w:themeFillTint="33"/>
          </w:tcPr>
          <w:p w:rsidR="00317411" w:rsidRPr="00394230" w:rsidRDefault="00317411" w:rsidP="00A71957">
            <w:pPr>
              <w:pStyle w:val="TableText"/>
              <w:keepNext w:val="0"/>
              <w:numPr>
                <w:ilvl w:val="0"/>
                <w:numId w:val="7"/>
              </w:numPr>
              <w:spacing w:before="0" w:after="0"/>
              <w:jc w:val="both"/>
              <w:rPr>
                <w:rFonts w:ascii="Arial" w:hAnsi="Arial" w:cs="Arial"/>
                <w:color w:val="auto"/>
                <w:szCs w:val="20"/>
              </w:rPr>
            </w:pPr>
            <w:r>
              <w:rPr>
                <w:rFonts w:ascii="Arial" w:hAnsi="Arial" w:cs="Arial"/>
                <w:szCs w:val="20"/>
              </w:rPr>
              <w:t xml:space="preserve">Are </w:t>
            </w:r>
            <w:r w:rsidR="00A71957">
              <w:rPr>
                <w:rFonts w:ascii="Arial" w:hAnsi="Arial" w:cs="Arial"/>
                <w:szCs w:val="20"/>
              </w:rPr>
              <w:t xml:space="preserve">they </w:t>
            </w:r>
            <w:r w:rsidRPr="00394230">
              <w:rPr>
                <w:rFonts w:ascii="Arial" w:hAnsi="Arial" w:cs="Arial"/>
                <w:szCs w:val="20"/>
              </w:rPr>
              <w:t>clear and easy to understand?</w:t>
            </w:r>
          </w:p>
        </w:tc>
      </w:tr>
      <w:tr w:rsidR="00317411" w:rsidRPr="00B12E0A" w:rsidTr="00317411">
        <w:tc>
          <w:tcPr>
            <w:tcW w:w="5000" w:type="pct"/>
          </w:tcPr>
          <w:p w:rsidR="00317411" w:rsidRPr="00B12E0A" w:rsidRDefault="00317411" w:rsidP="00742C92">
            <w:pPr>
              <w:pStyle w:val="TableText"/>
              <w:keepNext w:val="0"/>
              <w:spacing w:before="0" w:after="0"/>
              <w:jc w:val="both"/>
              <w:rPr>
                <w:rFonts w:ascii="Arial" w:hAnsi="Arial" w:cs="Arial"/>
                <w:color w:val="auto"/>
                <w:szCs w:val="20"/>
              </w:rPr>
            </w:pPr>
          </w:p>
          <w:p w:rsidR="00317411" w:rsidRPr="00B12E0A" w:rsidRDefault="00317411" w:rsidP="00742C92">
            <w:pPr>
              <w:pStyle w:val="TableText"/>
              <w:keepNext w:val="0"/>
              <w:spacing w:before="0" w:after="0"/>
              <w:jc w:val="both"/>
              <w:rPr>
                <w:rFonts w:ascii="Arial" w:hAnsi="Arial" w:cs="Arial"/>
                <w:color w:val="auto"/>
                <w:szCs w:val="20"/>
              </w:rPr>
            </w:pPr>
          </w:p>
          <w:p w:rsidR="00317411" w:rsidRDefault="00317411" w:rsidP="00742C92">
            <w:pPr>
              <w:pStyle w:val="TableText"/>
              <w:keepNext w:val="0"/>
              <w:spacing w:before="0" w:after="0"/>
              <w:jc w:val="both"/>
              <w:rPr>
                <w:rFonts w:ascii="Arial" w:hAnsi="Arial" w:cs="Arial"/>
                <w:color w:val="auto"/>
                <w:szCs w:val="20"/>
              </w:rPr>
            </w:pPr>
            <w:r>
              <w:rPr>
                <w:rFonts w:ascii="Arial" w:hAnsi="Arial" w:cs="Arial"/>
                <w:color w:val="auto"/>
                <w:szCs w:val="20"/>
              </w:rPr>
              <w:t xml:space="preserve"> </w:t>
            </w:r>
            <w:r w:rsidR="004A7DB6">
              <w:rPr>
                <w:rFonts w:ascii="Arial" w:hAnsi="Arial" w:cs="Arial"/>
                <w:color w:val="auto"/>
                <w:szCs w:val="20"/>
              </w:rPr>
              <w:t>The guidelines are clear and easy to understand.</w:t>
            </w:r>
          </w:p>
          <w:p w:rsidR="007E2502" w:rsidRDefault="007E2502" w:rsidP="00742C92">
            <w:pPr>
              <w:pStyle w:val="TableText"/>
              <w:keepNext w:val="0"/>
              <w:spacing w:before="0" w:after="0"/>
              <w:jc w:val="both"/>
              <w:rPr>
                <w:rFonts w:ascii="Arial" w:hAnsi="Arial" w:cs="Arial"/>
                <w:color w:val="auto"/>
                <w:szCs w:val="20"/>
              </w:rPr>
            </w:pPr>
          </w:p>
          <w:p w:rsidR="007E2502" w:rsidRDefault="007E2502" w:rsidP="00742C92">
            <w:pPr>
              <w:pStyle w:val="TableText"/>
              <w:keepNext w:val="0"/>
              <w:spacing w:before="0" w:after="0"/>
              <w:jc w:val="both"/>
              <w:rPr>
                <w:rFonts w:ascii="Arial" w:hAnsi="Arial" w:cs="Arial"/>
                <w:color w:val="auto"/>
                <w:szCs w:val="20"/>
              </w:rPr>
            </w:pPr>
          </w:p>
          <w:p w:rsidR="00317411" w:rsidRPr="00B12E0A" w:rsidRDefault="00317411" w:rsidP="00742C92">
            <w:pPr>
              <w:pStyle w:val="TableText"/>
              <w:keepNext w:val="0"/>
              <w:spacing w:before="0" w:after="0"/>
              <w:jc w:val="both"/>
              <w:rPr>
                <w:rFonts w:ascii="Arial" w:hAnsi="Arial" w:cs="Arial"/>
                <w:color w:val="auto"/>
                <w:szCs w:val="20"/>
              </w:rPr>
            </w:pPr>
          </w:p>
        </w:tc>
      </w:tr>
      <w:tr w:rsidR="00317411" w:rsidRPr="0093789E" w:rsidTr="004A2ECE">
        <w:tc>
          <w:tcPr>
            <w:tcW w:w="5000" w:type="pct"/>
            <w:shd w:val="clear" w:color="auto" w:fill="DAEEF3" w:themeFill="accent5" w:themeFillTint="33"/>
          </w:tcPr>
          <w:p w:rsidR="00317411" w:rsidRPr="00394230" w:rsidRDefault="00317411" w:rsidP="00A71957">
            <w:pPr>
              <w:pStyle w:val="TableText"/>
              <w:keepNext w:val="0"/>
              <w:numPr>
                <w:ilvl w:val="0"/>
                <w:numId w:val="7"/>
              </w:numPr>
              <w:spacing w:before="0" w:after="0"/>
              <w:jc w:val="both"/>
              <w:rPr>
                <w:rFonts w:ascii="Arial" w:hAnsi="Arial" w:cs="Arial"/>
                <w:szCs w:val="20"/>
              </w:rPr>
            </w:pPr>
            <w:r w:rsidRPr="00394230">
              <w:rPr>
                <w:rFonts w:ascii="Arial" w:hAnsi="Arial" w:cs="Arial"/>
                <w:szCs w:val="20"/>
              </w:rPr>
              <w:t>Is there any content that needs to be changed or deleted?</w:t>
            </w:r>
          </w:p>
        </w:tc>
      </w:tr>
      <w:tr w:rsidR="00317411" w:rsidRPr="0093789E" w:rsidTr="00317411">
        <w:tc>
          <w:tcPr>
            <w:tcW w:w="5000" w:type="pct"/>
          </w:tcPr>
          <w:p w:rsidR="00317411" w:rsidRDefault="00317411" w:rsidP="00742C92">
            <w:pPr>
              <w:pStyle w:val="TableText"/>
              <w:keepNext w:val="0"/>
              <w:spacing w:before="0" w:after="0"/>
              <w:jc w:val="both"/>
              <w:rPr>
                <w:rFonts w:ascii="Arial" w:hAnsi="Arial" w:cs="Arial"/>
                <w:color w:val="auto"/>
              </w:rPr>
            </w:pPr>
          </w:p>
          <w:p w:rsidR="00317411" w:rsidRDefault="004A7DB6" w:rsidP="00742C92">
            <w:pPr>
              <w:pStyle w:val="TableText"/>
              <w:keepNext w:val="0"/>
              <w:spacing w:before="0" w:after="0"/>
              <w:jc w:val="both"/>
              <w:rPr>
                <w:rFonts w:ascii="Arial" w:hAnsi="Arial" w:cs="Arial"/>
                <w:color w:val="auto"/>
              </w:rPr>
            </w:pPr>
            <w:r>
              <w:rPr>
                <w:rFonts w:ascii="Arial" w:hAnsi="Arial" w:cs="Arial"/>
                <w:color w:val="auto"/>
              </w:rPr>
              <w:t>With respect to contact lens prescriptions the Cornea and Contact Lens Society notes that in terms of many custom contact lens prescriptions the base curves (more appropriate back optic zone radii and peripheral curve radii) and associated curves are not specifically stated or are confidential material held by the manufacturer.</w:t>
            </w:r>
          </w:p>
          <w:p w:rsidR="004A7DB6" w:rsidRDefault="004A7DB6" w:rsidP="00742C92">
            <w:pPr>
              <w:pStyle w:val="TableText"/>
              <w:keepNext w:val="0"/>
              <w:spacing w:before="0" w:after="0"/>
              <w:jc w:val="both"/>
              <w:rPr>
                <w:rFonts w:ascii="Arial" w:hAnsi="Arial" w:cs="Arial"/>
                <w:color w:val="auto"/>
              </w:rPr>
            </w:pPr>
          </w:p>
          <w:p w:rsidR="004A7DB6" w:rsidRDefault="004A7DB6" w:rsidP="00742C92">
            <w:pPr>
              <w:pStyle w:val="TableText"/>
              <w:keepNext w:val="0"/>
              <w:spacing w:before="0" w:after="0"/>
              <w:jc w:val="both"/>
              <w:rPr>
                <w:rFonts w:ascii="Arial" w:hAnsi="Arial" w:cs="Arial"/>
                <w:color w:val="auto"/>
              </w:rPr>
            </w:pPr>
            <w:r>
              <w:rPr>
                <w:rFonts w:ascii="Arial" w:hAnsi="Arial" w:cs="Arial"/>
                <w:color w:val="auto"/>
              </w:rPr>
              <w:t>The Cornea and Contact Lens Society of Australia would recommend the inclusion of the specification of a brand being an alternative option for optometrists to use instead of the specification of the “base curve(s) of the lenses” in forming an adequate contact lens prescription.</w:t>
            </w:r>
          </w:p>
          <w:p w:rsidR="004A7DB6" w:rsidRDefault="004A7DB6" w:rsidP="00742C92">
            <w:pPr>
              <w:pStyle w:val="TableText"/>
              <w:keepNext w:val="0"/>
              <w:spacing w:before="0" w:after="0"/>
              <w:jc w:val="both"/>
              <w:rPr>
                <w:rFonts w:ascii="Arial" w:hAnsi="Arial" w:cs="Arial"/>
                <w:color w:val="auto"/>
              </w:rPr>
            </w:pPr>
          </w:p>
          <w:p w:rsidR="004A7DB6" w:rsidRDefault="004A7DB6" w:rsidP="00742C92">
            <w:pPr>
              <w:pStyle w:val="TableText"/>
              <w:keepNext w:val="0"/>
              <w:spacing w:before="0" w:after="0"/>
              <w:jc w:val="both"/>
              <w:rPr>
                <w:rFonts w:ascii="Arial" w:hAnsi="Arial" w:cs="Arial"/>
                <w:color w:val="auto"/>
              </w:rPr>
            </w:pPr>
            <w:r>
              <w:rPr>
                <w:rFonts w:ascii="Arial" w:hAnsi="Arial" w:cs="Arial"/>
                <w:color w:val="auto"/>
              </w:rPr>
              <w:t xml:space="preserve">The Cornea and Contact Lens Society of Australia is in agreement with the concept of charging patient reasonable fees for supply of a copy of a prescription. However, </w:t>
            </w:r>
            <w:r w:rsidR="00BB588B">
              <w:rPr>
                <w:rFonts w:ascii="Arial" w:hAnsi="Arial" w:cs="Arial"/>
                <w:color w:val="auto"/>
              </w:rPr>
              <w:t>we wonder if this conflicts with part 6.5 of the Common Form of Undertaking for Participating Optometrists in that the Common Form of Undertaking for Participating Optometrists requires the provision of a spectacle prescription on request, and this additional charge may breach part 6.5. We would be grateful for clarification from the OBA.</w:t>
            </w:r>
          </w:p>
          <w:p w:rsidR="007E2502" w:rsidRDefault="007E2502" w:rsidP="00742C92">
            <w:pPr>
              <w:pStyle w:val="TableText"/>
              <w:keepNext w:val="0"/>
              <w:spacing w:before="0" w:after="0"/>
              <w:jc w:val="both"/>
              <w:rPr>
                <w:rFonts w:ascii="Arial" w:hAnsi="Arial" w:cs="Arial"/>
                <w:color w:val="auto"/>
              </w:rPr>
            </w:pPr>
          </w:p>
          <w:p w:rsidR="007E2502" w:rsidRDefault="007E2502" w:rsidP="00742C92">
            <w:pPr>
              <w:pStyle w:val="TableText"/>
              <w:keepNext w:val="0"/>
              <w:spacing w:before="0" w:after="0"/>
              <w:jc w:val="both"/>
              <w:rPr>
                <w:rFonts w:ascii="Arial" w:hAnsi="Arial" w:cs="Arial"/>
                <w:color w:val="auto"/>
              </w:rPr>
            </w:pPr>
          </w:p>
          <w:p w:rsidR="00317411" w:rsidRDefault="00317411" w:rsidP="00742C92">
            <w:pPr>
              <w:pStyle w:val="TableText"/>
              <w:keepNext w:val="0"/>
              <w:spacing w:before="0" w:after="0"/>
              <w:jc w:val="both"/>
              <w:rPr>
                <w:rFonts w:ascii="Arial" w:hAnsi="Arial" w:cs="Arial"/>
                <w:color w:val="auto"/>
              </w:rPr>
            </w:pPr>
          </w:p>
          <w:p w:rsidR="00317411" w:rsidRPr="0093789E" w:rsidRDefault="00317411" w:rsidP="00742C92">
            <w:pPr>
              <w:pStyle w:val="TableText"/>
              <w:keepNext w:val="0"/>
              <w:spacing w:before="0" w:after="0"/>
              <w:jc w:val="both"/>
              <w:rPr>
                <w:rFonts w:ascii="Arial" w:hAnsi="Arial" w:cs="Arial"/>
                <w:color w:val="auto"/>
              </w:rPr>
            </w:pPr>
          </w:p>
        </w:tc>
      </w:tr>
      <w:tr w:rsidR="00317411" w:rsidRPr="0093789E" w:rsidTr="004A2ECE">
        <w:tc>
          <w:tcPr>
            <w:tcW w:w="5000" w:type="pct"/>
            <w:shd w:val="clear" w:color="auto" w:fill="DAEEF3" w:themeFill="accent5" w:themeFillTint="33"/>
          </w:tcPr>
          <w:p w:rsidR="00317411" w:rsidRPr="00394230" w:rsidRDefault="00317411" w:rsidP="00A71957">
            <w:pPr>
              <w:pStyle w:val="TableText"/>
              <w:keepNext w:val="0"/>
              <w:numPr>
                <w:ilvl w:val="0"/>
                <w:numId w:val="7"/>
              </w:numPr>
              <w:spacing w:before="0" w:after="0"/>
              <w:jc w:val="both"/>
              <w:rPr>
                <w:rFonts w:ascii="Arial" w:hAnsi="Arial" w:cs="Arial"/>
                <w:szCs w:val="20"/>
              </w:rPr>
            </w:pPr>
            <w:r w:rsidRPr="00394230">
              <w:rPr>
                <w:rFonts w:ascii="Arial" w:hAnsi="Arial" w:cs="Arial"/>
                <w:szCs w:val="20"/>
              </w:rPr>
              <w:t>Is there anything missing that needs to be added?</w:t>
            </w:r>
          </w:p>
        </w:tc>
      </w:tr>
      <w:tr w:rsidR="00317411" w:rsidRPr="0093789E" w:rsidTr="00317411">
        <w:tc>
          <w:tcPr>
            <w:tcW w:w="5000" w:type="pct"/>
          </w:tcPr>
          <w:p w:rsidR="00317411" w:rsidRDefault="00317411" w:rsidP="00742C92">
            <w:pPr>
              <w:pStyle w:val="TableText"/>
              <w:keepNext w:val="0"/>
              <w:spacing w:before="0" w:after="0"/>
              <w:jc w:val="both"/>
              <w:rPr>
                <w:rFonts w:ascii="Arial" w:hAnsi="Arial" w:cs="Arial"/>
                <w:color w:val="auto"/>
              </w:rPr>
            </w:pPr>
          </w:p>
          <w:p w:rsidR="00317411" w:rsidRDefault="00317411" w:rsidP="00742C92">
            <w:pPr>
              <w:pStyle w:val="TableText"/>
              <w:keepNext w:val="0"/>
              <w:spacing w:before="0" w:after="0"/>
              <w:jc w:val="both"/>
              <w:rPr>
                <w:rFonts w:ascii="Arial" w:hAnsi="Arial" w:cs="Arial"/>
                <w:color w:val="auto"/>
              </w:rPr>
            </w:pPr>
          </w:p>
          <w:p w:rsidR="007E2502" w:rsidRDefault="007E2502" w:rsidP="00742C92">
            <w:pPr>
              <w:pStyle w:val="TableText"/>
              <w:keepNext w:val="0"/>
              <w:spacing w:before="0" w:after="0"/>
              <w:jc w:val="both"/>
              <w:rPr>
                <w:rFonts w:ascii="Arial" w:hAnsi="Arial" w:cs="Arial"/>
                <w:color w:val="auto"/>
              </w:rPr>
            </w:pPr>
          </w:p>
          <w:p w:rsidR="00317411" w:rsidRDefault="00BB588B" w:rsidP="00742C92">
            <w:pPr>
              <w:pStyle w:val="TableText"/>
              <w:keepNext w:val="0"/>
              <w:spacing w:before="0" w:after="0"/>
              <w:jc w:val="both"/>
              <w:rPr>
                <w:rFonts w:ascii="Arial" w:hAnsi="Arial" w:cs="Arial"/>
                <w:color w:val="auto"/>
              </w:rPr>
            </w:pPr>
            <w:r>
              <w:rPr>
                <w:rFonts w:ascii="Arial" w:hAnsi="Arial" w:cs="Arial"/>
                <w:color w:val="auto"/>
              </w:rPr>
              <w:t>No</w:t>
            </w:r>
          </w:p>
          <w:p w:rsidR="007E2502" w:rsidRDefault="007E2502" w:rsidP="00742C92">
            <w:pPr>
              <w:pStyle w:val="TableText"/>
              <w:keepNext w:val="0"/>
              <w:spacing w:before="0" w:after="0"/>
              <w:jc w:val="both"/>
              <w:rPr>
                <w:rFonts w:ascii="Arial" w:hAnsi="Arial" w:cs="Arial"/>
                <w:color w:val="auto"/>
              </w:rPr>
            </w:pPr>
          </w:p>
          <w:p w:rsidR="00317411" w:rsidRPr="0093789E" w:rsidRDefault="00317411" w:rsidP="00742C92">
            <w:pPr>
              <w:pStyle w:val="TableText"/>
              <w:keepNext w:val="0"/>
              <w:spacing w:before="0" w:after="0"/>
              <w:jc w:val="both"/>
              <w:rPr>
                <w:rFonts w:ascii="Arial" w:hAnsi="Arial" w:cs="Arial"/>
                <w:color w:val="auto"/>
              </w:rPr>
            </w:pPr>
          </w:p>
        </w:tc>
      </w:tr>
      <w:tr w:rsidR="00317411" w:rsidRPr="0093789E" w:rsidTr="004A2ECE">
        <w:tc>
          <w:tcPr>
            <w:tcW w:w="5000" w:type="pct"/>
            <w:shd w:val="clear" w:color="auto" w:fill="DAEEF3" w:themeFill="accent5" w:themeFillTint="33"/>
          </w:tcPr>
          <w:p w:rsidR="00317411" w:rsidRPr="00946BCE" w:rsidRDefault="00451A4F" w:rsidP="00A71957">
            <w:pPr>
              <w:pStyle w:val="TableText"/>
              <w:keepNext w:val="0"/>
              <w:numPr>
                <w:ilvl w:val="0"/>
                <w:numId w:val="7"/>
              </w:numPr>
              <w:spacing w:before="0" w:after="0"/>
              <w:jc w:val="both"/>
              <w:rPr>
                <w:rFonts w:ascii="Arial" w:hAnsi="Arial" w:cs="Arial"/>
                <w:color w:val="auto"/>
                <w:szCs w:val="20"/>
              </w:rPr>
            </w:pPr>
            <w:r w:rsidRPr="00394230">
              <w:rPr>
                <w:rFonts w:ascii="Arial" w:hAnsi="Arial" w:cs="Arial"/>
                <w:szCs w:val="20"/>
              </w:rPr>
              <w:t>Do you have any other comments?</w:t>
            </w:r>
          </w:p>
        </w:tc>
      </w:tr>
      <w:tr w:rsidR="00317411" w:rsidRPr="0093789E" w:rsidTr="00342C2B">
        <w:trPr>
          <w:trHeight w:val="1248"/>
        </w:trPr>
        <w:tc>
          <w:tcPr>
            <w:tcW w:w="5000" w:type="pct"/>
          </w:tcPr>
          <w:p w:rsidR="00317411" w:rsidRDefault="00317411" w:rsidP="00742C92">
            <w:pPr>
              <w:pStyle w:val="TableText"/>
              <w:keepNext w:val="0"/>
              <w:spacing w:before="0" w:after="0"/>
              <w:jc w:val="both"/>
              <w:rPr>
                <w:rFonts w:ascii="Arial" w:hAnsi="Arial" w:cs="Arial"/>
                <w:color w:val="auto"/>
              </w:rPr>
            </w:pPr>
          </w:p>
          <w:p w:rsidR="007E2502" w:rsidRDefault="007E2502" w:rsidP="00742C92">
            <w:pPr>
              <w:pStyle w:val="TableText"/>
              <w:keepNext w:val="0"/>
              <w:spacing w:before="0" w:after="0"/>
              <w:jc w:val="both"/>
              <w:rPr>
                <w:rFonts w:ascii="Arial" w:hAnsi="Arial" w:cs="Arial"/>
                <w:color w:val="auto"/>
              </w:rPr>
            </w:pPr>
          </w:p>
          <w:p w:rsidR="007E2502" w:rsidRDefault="00BB588B" w:rsidP="00742C92">
            <w:pPr>
              <w:pStyle w:val="TableText"/>
              <w:keepNext w:val="0"/>
              <w:spacing w:before="0" w:after="0"/>
              <w:jc w:val="both"/>
              <w:rPr>
                <w:rFonts w:ascii="Arial" w:hAnsi="Arial" w:cs="Arial"/>
                <w:color w:val="auto"/>
              </w:rPr>
            </w:pPr>
            <w:r>
              <w:rPr>
                <w:rFonts w:ascii="Arial" w:hAnsi="Arial" w:cs="Arial"/>
                <w:color w:val="auto"/>
              </w:rPr>
              <w:t>No</w:t>
            </w:r>
          </w:p>
        </w:tc>
      </w:tr>
    </w:tbl>
    <w:p w:rsidR="00FD1C85" w:rsidRDefault="00FD1C85" w:rsidP="00F068F0">
      <w:pPr>
        <w:pStyle w:val="TableText"/>
        <w:keepNext w:val="0"/>
        <w:ind w:left="142"/>
        <w:jc w:val="both"/>
        <w:rPr>
          <w:rFonts w:ascii="Arial" w:hAnsi="Arial" w:cs="Arial"/>
          <w:color w:val="auto"/>
          <w:szCs w:val="20"/>
        </w:rPr>
      </w:pPr>
    </w:p>
    <w:sectPr w:rsidR="00FD1C85" w:rsidSect="00E07D13">
      <w:footerReference w:type="default" r:id="rId9"/>
      <w:headerReference w:type="first" r:id="rId10"/>
      <w:footerReference w:type="first" r:id="rId11"/>
      <w:pgSz w:w="11906" w:h="16838"/>
      <w:pgMar w:top="1134" w:right="1440" w:bottom="993" w:left="1440" w:header="709"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A92" w:rsidRDefault="00CF1A92" w:rsidP="00A43430">
      <w:pPr>
        <w:spacing w:after="0" w:line="240" w:lineRule="auto"/>
      </w:pPr>
      <w:r>
        <w:separator/>
      </w:r>
    </w:p>
  </w:endnote>
  <w:endnote w:type="continuationSeparator" w:id="0">
    <w:p w:rsidR="00CF1A92" w:rsidRDefault="00CF1A92" w:rsidP="00A4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arrow">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4061524"/>
      <w:docPartObj>
        <w:docPartGallery w:val="Page Numbers (Top of Page)"/>
        <w:docPartUnique/>
      </w:docPartObj>
    </w:sdtPr>
    <w:sdtEndPr/>
    <w:sdtContent>
      <w:p w:rsidR="00742C92" w:rsidRDefault="00742C92" w:rsidP="00192714">
        <w:pPr>
          <w:pStyle w:val="Header"/>
          <w:rPr>
            <w:rFonts w:ascii="Arial" w:hAnsi="Arial" w:cs="Arial"/>
            <w:sz w:val="20"/>
            <w:szCs w:val="20"/>
          </w:rPr>
        </w:pPr>
        <w:r>
          <w:rPr>
            <w:rFonts w:ascii="Arial" w:hAnsi="Arial" w:cs="Arial"/>
            <w:sz w:val="20"/>
            <w:szCs w:val="20"/>
          </w:rPr>
          <w:t xml:space="preserve">Optometry Board of Australia </w:t>
        </w:r>
      </w:p>
      <w:p w:rsidR="00742C92" w:rsidRDefault="00742C92" w:rsidP="00192714">
        <w:pPr>
          <w:pStyle w:val="Header"/>
          <w:rPr>
            <w:rFonts w:ascii="Arial" w:hAnsi="Arial" w:cs="Arial"/>
            <w:sz w:val="20"/>
            <w:szCs w:val="20"/>
          </w:rPr>
        </w:pPr>
        <w:r>
          <w:rPr>
            <w:rFonts w:ascii="Arial" w:hAnsi="Arial" w:cs="Arial"/>
            <w:sz w:val="20"/>
            <w:szCs w:val="20"/>
          </w:rPr>
          <w:t xml:space="preserve">Public </w:t>
        </w:r>
        <w:r w:rsidRPr="00FE1F23">
          <w:rPr>
            <w:rFonts w:ascii="Arial" w:hAnsi="Arial" w:cs="Arial"/>
            <w:sz w:val="20"/>
            <w:szCs w:val="20"/>
          </w:rPr>
          <w:t xml:space="preserve">consultation on draft </w:t>
        </w:r>
        <w:r>
          <w:rPr>
            <w:rFonts w:ascii="Arial" w:hAnsi="Arial" w:cs="Arial"/>
            <w:sz w:val="20"/>
            <w:szCs w:val="20"/>
          </w:rPr>
          <w:t>revised guidelines</w:t>
        </w:r>
        <w:r w:rsidRPr="00FE1F23">
          <w:rPr>
            <w:rFonts w:ascii="Arial" w:hAnsi="Arial" w:cs="Arial"/>
            <w:sz w:val="20"/>
            <w:szCs w:val="20"/>
          </w:rPr>
          <w:t xml:space="preserve"> </w:t>
        </w:r>
      </w:p>
      <w:p w:rsidR="00742C92" w:rsidRDefault="00742C92" w:rsidP="00192714">
        <w:pPr>
          <w:pStyle w:val="Header"/>
          <w:rPr>
            <w:rFonts w:ascii="Arial" w:hAnsi="Arial" w:cs="Arial"/>
            <w:sz w:val="20"/>
            <w:szCs w:val="20"/>
          </w:rPr>
        </w:pPr>
        <w:r>
          <w:rPr>
            <w:rFonts w:ascii="Arial" w:hAnsi="Arial" w:cs="Arial"/>
            <w:sz w:val="20"/>
            <w:szCs w:val="20"/>
          </w:rPr>
          <w:t>Responses to consultation questions September 2015</w:t>
        </w:r>
      </w:p>
      <w:p w:rsidR="00742C92" w:rsidRDefault="00742C92" w:rsidP="00A43430">
        <w:pPr>
          <w:pStyle w:val="Footer"/>
          <w:tabs>
            <w:tab w:val="center" w:pos="4513"/>
            <w:tab w:val="right" w:pos="9026"/>
          </w:tabs>
          <w:jc w:val="right"/>
          <w:rPr>
            <w:rFonts w:ascii="Arial" w:hAnsi="Arial" w:cs="Arial"/>
            <w:sz w:val="18"/>
            <w:szCs w:val="18"/>
          </w:rPr>
        </w:pPr>
        <w:r w:rsidRPr="009D3653">
          <w:rPr>
            <w:rFonts w:ascii="Arial" w:hAnsi="Arial" w:cs="Arial"/>
            <w:sz w:val="18"/>
            <w:szCs w:val="18"/>
          </w:rPr>
          <w:t xml:space="preserve">Page </w:t>
        </w:r>
        <w:r w:rsidR="005E0FA5" w:rsidRPr="009D3653">
          <w:rPr>
            <w:rFonts w:ascii="Arial" w:hAnsi="Arial" w:cs="Arial"/>
            <w:sz w:val="18"/>
            <w:szCs w:val="18"/>
          </w:rPr>
          <w:fldChar w:fldCharType="begin"/>
        </w:r>
        <w:r w:rsidRPr="009D3653">
          <w:rPr>
            <w:rFonts w:ascii="Arial" w:hAnsi="Arial" w:cs="Arial"/>
            <w:sz w:val="18"/>
            <w:szCs w:val="18"/>
          </w:rPr>
          <w:instrText xml:space="preserve"> PAGE </w:instrText>
        </w:r>
        <w:r w:rsidR="005E0FA5" w:rsidRPr="009D3653">
          <w:rPr>
            <w:rFonts w:ascii="Arial" w:hAnsi="Arial" w:cs="Arial"/>
            <w:sz w:val="18"/>
            <w:szCs w:val="18"/>
          </w:rPr>
          <w:fldChar w:fldCharType="separate"/>
        </w:r>
        <w:r w:rsidR="006B651A">
          <w:rPr>
            <w:rFonts w:ascii="Arial" w:hAnsi="Arial" w:cs="Arial"/>
            <w:noProof/>
            <w:sz w:val="18"/>
            <w:szCs w:val="18"/>
          </w:rPr>
          <w:t>2</w:t>
        </w:r>
        <w:r w:rsidR="005E0FA5" w:rsidRPr="009D3653">
          <w:rPr>
            <w:rFonts w:ascii="Arial" w:hAnsi="Arial" w:cs="Arial"/>
            <w:sz w:val="18"/>
            <w:szCs w:val="18"/>
          </w:rPr>
          <w:fldChar w:fldCharType="end"/>
        </w:r>
        <w:r w:rsidRPr="009D3653">
          <w:rPr>
            <w:rFonts w:ascii="Arial" w:hAnsi="Arial" w:cs="Arial"/>
            <w:sz w:val="18"/>
            <w:szCs w:val="18"/>
          </w:rPr>
          <w:t xml:space="preserve"> of </w:t>
        </w:r>
        <w:r w:rsidR="005E0FA5" w:rsidRPr="009D3653">
          <w:rPr>
            <w:rFonts w:ascii="Arial" w:hAnsi="Arial" w:cs="Arial"/>
            <w:sz w:val="18"/>
            <w:szCs w:val="18"/>
          </w:rPr>
          <w:fldChar w:fldCharType="begin"/>
        </w:r>
        <w:r w:rsidRPr="009D3653">
          <w:rPr>
            <w:rFonts w:ascii="Arial" w:hAnsi="Arial" w:cs="Arial"/>
            <w:sz w:val="18"/>
            <w:szCs w:val="18"/>
          </w:rPr>
          <w:instrText xml:space="preserve"> NUMPAGES  </w:instrText>
        </w:r>
        <w:r w:rsidR="005E0FA5" w:rsidRPr="009D3653">
          <w:rPr>
            <w:rFonts w:ascii="Arial" w:hAnsi="Arial" w:cs="Arial"/>
            <w:sz w:val="18"/>
            <w:szCs w:val="18"/>
          </w:rPr>
          <w:fldChar w:fldCharType="separate"/>
        </w:r>
        <w:r w:rsidR="006B651A">
          <w:rPr>
            <w:rFonts w:ascii="Arial" w:hAnsi="Arial" w:cs="Arial"/>
            <w:noProof/>
            <w:sz w:val="18"/>
            <w:szCs w:val="18"/>
          </w:rPr>
          <w:t>4</w:t>
        </w:r>
        <w:r w:rsidR="005E0FA5" w:rsidRPr="009D3653">
          <w:rPr>
            <w:rFonts w:ascii="Arial" w:hAnsi="Arial" w:cs="Arial"/>
            <w:sz w:val="18"/>
            <w:szCs w:val="18"/>
          </w:rPr>
          <w:fldChar w:fldCharType="end"/>
        </w:r>
      </w:p>
    </w:sdtContent>
  </w:sdt>
  <w:p w:rsidR="00742C92" w:rsidRDefault="00742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C92" w:rsidRPr="00192714" w:rsidRDefault="00742C92" w:rsidP="00192714">
    <w:pPr>
      <w:pStyle w:val="AHPRAfirstpagefooter"/>
      <w:rPr>
        <w:szCs w:val="18"/>
      </w:rPr>
    </w:pPr>
    <w:r>
      <w:rPr>
        <w:color w:val="007DC3"/>
        <w:szCs w:val="18"/>
      </w:rPr>
      <w:t xml:space="preserve">Optometry </w:t>
    </w:r>
    <w:r w:rsidRPr="00192714">
      <w:rPr>
        <w:szCs w:val="18"/>
      </w:rPr>
      <w:t>Board of Australia</w:t>
    </w:r>
  </w:p>
  <w:p w:rsidR="00742C92" w:rsidRPr="00192714" w:rsidRDefault="00742C92" w:rsidP="00192714">
    <w:pPr>
      <w:pStyle w:val="AHPRAfooter"/>
      <w:jc w:val="center"/>
      <w:rPr>
        <w:rFonts w:ascii="Arial" w:hAnsi="Arial" w:cs="Arial"/>
        <w:sz w:val="18"/>
        <w:szCs w:val="18"/>
      </w:rPr>
    </w:pPr>
    <w:r w:rsidRPr="00192714">
      <w:rPr>
        <w:rFonts w:ascii="Arial" w:hAnsi="Arial" w:cs="Arial"/>
        <w:sz w:val="18"/>
        <w:szCs w:val="18"/>
      </w:rPr>
      <w:t xml:space="preserve">G.P.O. Box 9958   </w:t>
    </w:r>
    <w:r w:rsidRPr="00192714">
      <w:rPr>
        <w:rFonts w:ascii="Arial" w:hAnsi="Arial" w:cs="Arial"/>
        <w:b/>
        <w:color w:val="007DC3"/>
        <w:sz w:val="18"/>
        <w:szCs w:val="18"/>
      </w:rPr>
      <w:t>|</w:t>
    </w:r>
    <w:r w:rsidRPr="00192714">
      <w:rPr>
        <w:rFonts w:ascii="Arial" w:hAnsi="Arial" w:cs="Arial"/>
        <w:sz w:val="18"/>
        <w:szCs w:val="18"/>
      </w:rPr>
      <w:t xml:space="preserve">   Melbourne VIC 3001   </w:t>
    </w:r>
    <w:r w:rsidRPr="00192714">
      <w:rPr>
        <w:rFonts w:ascii="Arial" w:hAnsi="Arial" w:cs="Arial"/>
        <w:b/>
        <w:color w:val="007DC3"/>
        <w:sz w:val="18"/>
        <w:szCs w:val="18"/>
      </w:rPr>
      <w:t>|</w:t>
    </w:r>
    <w:r>
      <w:rPr>
        <w:rFonts w:ascii="Arial" w:hAnsi="Arial" w:cs="Arial"/>
        <w:sz w:val="18"/>
        <w:szCs w:val="18"/>
      </w:rPr>
      <w:t xml:space="preserve">   www.optometry</w:t>
    </w:r>
    <w:r w:rsidRPr="00192714">
      <w:rPr>
        <w:rFonts w:ascii="Arial" w:hAnsi="Arial" w:cs="Arial"/>
        <w:sz w:val="18"/>
        <w:szCs w:val="18"/>
      </w:rPr>
      <w:t xml:space="preserve">board.gov.au   </w:t>
    </w:r>
    <w:r w:rsidRPr="00192714">
      <w:rPr>
        <w:rFonts w:ascii="Arial" w:hAnsi="Arial" w:cs="Arial"/>
        <w:b/>
        <w:color w:val="007DC3"/>
        <w:sz w:val="18"/>
        <w:szCs w:val="18"/>
      </w:rPr>
      <w:t>|</w:t>
    </w:r>
    <w:r w:rsidRPr="00192714">
      <w:rPr>
        <w:rFonts w:ascii="Arial" w:hAnsi="Arial" w:cs="Arial"/>
        <w:sz w:val="18"/>
        <w:szCs w:val="18"/>
      </w:rPr>
      <w:t xml:space="preserve">   1300 419 495</w:t>
    </w:r>
  </w:p>
  <w:p w:rsidR="00742C92" w:rsidRPr="00E07D13" w:rsidRDefault="00742C92" w:rsidP="00192714">
    <w:pPr>
      <w:pStyle w:val="AHPRAfirstpagefooter"/>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A92" w:rsidRDefault="00CF1A92" w:rsidP="00A43430">
      <w:pPr>
        <w:spacing w:after="0" w:line="240" w:lineRule="auto"/>
      </w:pPr>
      <w:r>
        <w:separator/>
      </w:r>
    </w:p>
  </w:footnote>
  <w:footnote w:type="continuationSeparator" w:id="0">
    <w:p w:rsidR="00CF1A92" w:rsidRDefault="00CF1A92" w:rsidP="00A43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C92" w:rsidRDefault="00742C92">
    <w:pPr>
      <w:pStyle w:val="Header"/>
      <w:tabs>
        <w:tab w:val="left" w:pos="240"/>
        <w:tab w:val="right" w:pos="9026"/>
      </w:tabs>
    </w:pPr>
    <w:r>
      <w:tab/>
    </w:r>
    <w:r>
      <w:br/>
    </w:r>
    <w:r>
      <w:br/>
    </w:r>
    <w:r>
      <w:br/>
    </w:r>
    <w:r>
      <w:br/>
    </w:r>
    <w:r>
      <w:br/>
    </w:r>
    <w:r>
      <w:br/>
    </w:r>
    <w:r>
      <w:br/>
    </w:r>
    <w:r>
      <w:tab/>
    </w:r>
    <w:r>
      <w:tab/>
    </w:r>
    <w:r>
      <w:rPr>
        <w:noProof/>
        <w:lang w:eastAsia="en-AU"/>
      </w:rPr>
      <w:drawing>
        <wp:anchor distT="0" distB="0" distL="114300" distR="114300" simplePos="0" relativeHeight="251659264" behindDoc="0" locked="0" layoutInCell="1" allowOverlap="1">
          <wp:simplePos x="0" y="0"/>
          <wp:positionH relativeFrom="column">
            <wp:posOffset>4972050</wp:posOffset>
          </wp:positionH>
          <wp:positionV relativeFrom="paragraph">
            <wp:posOffset>-145415</wp:posOffset>
          </wp:positionV>
          <wp:extent cx="1295400" cy="1352550"/>
          <wp:effectExtent l="0" t="0" r="0" b="0"/>
          <wp:wrapSquare wrapText="bothSides"/>
          <wp:docPr id="2" name="Picture 2" descr="Optometry Board of Australi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HPRA_OptometryBoardofAustralia"/>
                  <pic:cNvPicPr>
                    <a:picLocks noChangeArrowheads="1"/>
                  </pic:cNvPicPr>
                </pic:nvPicPr>
                <pic:blipFill>
                  <a:blip r:embed="rId1"/>
                  <a:srcRect/>
                  <a:stretch>
                    <a:fillRect/>
                  </a:stretch>
                </pic:blipFill>
                <pic:spPr bwMode="auto">
                  <a:xfrm>
                    <a:off x="0" y="0"/>
                    <a:ext cx="1295400" cy="1352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08C6"/>
    <w:multiLevelType w:val="hybridMultilevel"/>
    <w:tmpl w:val="C2C6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9235F"/>
    <w:multiLevelType w:val="hybridMultilevel"/>
    <w:tmpl w:val="82E6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855A4"/>
    <w:multiLevelType w:val="hybridMultilevel"/>
    <w:tmpl w:val="18F2466A"/>
    <w:lvl w:ilvl="0" w:tplc="D95C4CDC">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737BBA"/>
    <w:multiLevelType w:val="hybridMultilevel"/>
    <w:tmpl w:val="D3DAF26A"/>
    <w:lvl w:ilvl="0" w:tplc="B8FE685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DB7D84"/>
    <w:multiLevelType w:val="hybridMultilevel"/>
    <w:tmpl w:val="8AECEF76"/>
    <w:lvl w:ilvl="0" w:tplc="BE1CC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307B0"/>
    <w:multiLevelType w:val="hybridMultilevel"/>
    <w:tmpl w:val="223C994E"/>
    <w:lvl w:ilvl="0" w:tplc="7E46B5E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F141E0"/>
    <w:multiLevelType w:val="hybridMultilevel"/>
    <w:tmpl w:val="C53E8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C58E7"/>
    <w:multiLevelType w:val="hybridMultilevel"/>
    <w:tmpl w:val="E482F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C21673"/>
    <w:multiLevelType w:val="hybridMultilevel"/>
    <w:tmpl w:val="284EA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2D4927"/>
    <w:multiLevelType w:val="hybridMultilevel"/>
    <w:tmpl w:val="8AECEF76"/>
    <w:lvl w:ilvl="0" w:tplc="BE1CC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15A1A"/>
    <w:multiLevelType w:val="hybridMultilevel"/>
    <w:tmpl w:val="57D88418"/>
    <w:lvl w:ilvl="0" w:tplc="F8E6274E">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E78E0"/>
    <w:multiLevelType w:val="hybridMultilevel"/>
    <w:tmpl w:val="284EA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E64C95"/>
    <w:multiLevelType w:val="hybridMultilevel"/>
    <w:tmpl w:val="3586CF30"/>
    <w:lvl w:ilvl="0" w:tplc="FF38CA3E">
      <w:start w:val="1"/>
      <w:numFmt w:val="decimal"/>
      <w:lvlText w:val="%1."/>
      <w:lvlJc w:val="left"/>
      <w:pPr>
        <w:ind w:left="360" w:hanging="360"/>
      </w:pPr>
      <w:rPr>
        <w:rFonts w:ascii="Arial" w:hAnsi="Arial" w:cs="Arial" w:hint="default"/>
        <w:b w:val="0"/>
        <w:color w:val="000000" w:themeColor="text1"/>
        <w:sz w:val="20"/>
        <w:szCs w:val="20"/>
      </w:rPr>
    </w:lvl>
    <w:lvl w:ilvl="1" w:tplc="7DE40FFA">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D233EB"/>
    <w:multiLevelType w:val="hybridMultilevel"/>
    <w:tmpl w:val="D68AFF28"/>
    <w:lvl w:ilvl="0" w:tplc="6726B46A">
      <w:start w:val="1"/>
      <w:numFmt w:val="decimal"/>
      <w:lvlText w:val="%1."/>
      <w:lvlJc w:val="left"/>
      <w:pPr>
        <w:ind w:left="36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4016C"/>
    <w:multiLevelType w:val="hybridMultilevel"/>
    <w:tmpl w:val="55A86998"/>
    <w:lvl w:ilvl="0" w:tplc="65C0FF30">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9702C"/>
    <w:multiLevelType w:val="hybridMultilevel"/>
    <w:tmpl w:val="C53E8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FD1B57"/>
    <w:multiLevelType w:val="hybridMultilevel"/>
    <w:tmpl w:val="3A762BDA"/>
    <w:lvl w:ilvl="0" w:tplc="7E46B5E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E21679"/>
    <w:multiLevelType w:val="hybridMultilevel"/>
    <w:tmpl w:val="C898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EA710E"/>
    <w:multiLevelType w:val="hybridMultilevel"/>
    <w:tmpl w:val="9FC00156"/>
    <w:lvl w:ilvl="0" w:tplc="8FE26C52">
      <w:start w:val="1"/>
      <w:numFmt w:val="decimal"/>
      <w:lvlText w:val="%1."/>
      <w:lvlJc w:val="left"/>
      <w:pPr>
        <w:ind w:left="360" w:hanging="360"/>
      </w:pPr>
      <w:rPr>
        <w:rFonts w:ascii="Arial" w:hAnsi="Arial" w:cs="Arial"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56538F"/>
    <w:multiLevelType w:val="hybridMultilevel"/>
    <w:tmpl w:val="18F2466A"/>
    <w:lvl w:ilvl="0" w:tplc="D95C4CDC">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660B51"/>
    <w:multiLevelType w:val="hybridMultilevel"/>
    <w:tmpl w:val="284EA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BF5762"/>
    <w:multiLevelType w:val="hybridMultilevel"/>
    <w:tmpl w:val="284EA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3"/>
  </w:num>
  <w:num w:numId="3">
    <w:abstractNumId w:val="18"/>
  </w:num>
  <w:num w:numId="4">
    <w:abstractNumId w:val="10"/>
  </w:num>
  <w:num w:numId="5">
    <w:abstractNumId w:val="14"/>
  </w:num>
  <w:num w:numId="6">
    <w:abstractNumId w:val="1"/>
  </w:num>
  <w:num w:numId="7">
    <w:abstractNumId w:val="21"/>
  </w:num>
  <w:num w:numId="8">
    <w:abstractNumId w:val="19"/>
  </w:num>
  <w:num w:numId="9">
    <w:abstractNumId w:val="9"/>
  </w:num>
  <w:num w:numId="10">
    <w:abstractNumId w:val="2"/>
  </w:num>
  <w:num w:numId="11">
    <w:abstractNumId w:val="5"/>
  </w:num>
  <w:num w:numId="12">
    <w:abstractNumId w:val="16"/>
  </w:num>
  <w:num w:numId="13">
    <w:abstractNumId w:val="3"/>
  </w:num>
  <w:num w:numId="14">
    <w:abstractNumId w:val="11"/>
  </w:num>
  <w:num w:numId="15">
    <w:abstractNumId w:val="4"/>
  </w:num>
  <w:num w:numId="16">
    <w:abstractNumId w:val="8"/>
  </w:num>
  <w:num w:numId="17">
    <w:abstractNumId w:val="20"/>
  </w:num>
  <w:num w:numId="18">
    <w:abstractNumId w:val="7"/>
  </w:num>
  <w:num w:numId="19">
    <w:abstractNumId w:val="6"/>
  </w:num>
  <w:num w:numId="20">
    <w:abstractNumId w:val="15"/>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C3659E"/>
    <w:rsid w:val="00002EFA"/>
    <w:rsid w:val="00003F0A"/>
    <w:rsid w:val="000255FE"/>
    <w:rsid w:val="00047F1A"/>
    <w:rsid w:val="000506EA"/>
    <w:rsid w:val="000C51C7"/>
    <w:rsid w:val="000D22C5"/>
    <w:rsid w:val="000E1919"/>
    <w:rsid w:val="001037F1"/>
    <w:rsid w:val="001152F0"/>
    <w:rsid w:val="00117060"/>
    <w:rsid w:val="00121E82"/>
    <w:rsid w:val="0013396B"/>
    <w:rsid w:val="00192714"/>
    <w:rsid w:val="001A6FF0"/>
    <w:rsid w:val="001F39F2"/>
    <w:rsid w:val="001F419C"/>
    <w:rsid w:val="001F63F8"/>
    <w:rsid w:val="001F7A6B"/>
    <w:rsid w:val="00212D28"/>
    <w:rsid w:val="00224981"/>
    <w:rsid w:val="00232339"/>
    <w:rsid w:val="0023733D"/>
    <w:rsid w:val="00283137"/>
    <w:rsid w:val="002D6FEB"/>
    <w:rsid w:val="00312D1D"/>
    <w:rsid w:val="003136CD"/>
    <w:rsid w:val="00317411"/>
    <w:rsid w:val="00325589"/>
    <w:rsid w:val="00341DF3"/>
    <w:rsid w:val="00342C2B"/>
    <w:rsid w:val="003530A9"/>
    <w:rsid w:val="00362447"/>
    <w:rsid w:val="00374C1F"/>
    <w:rsid w:val="00394230"/>
    <w:rsid w:val="00395CC6"/>
    <w:rsid w:val="003F3C94"/>
    <w:rsid w:val="004048DA"/>
    <w:rsid w:val="0041414F"/>
    <w:rsid w:val="00424BF6"/>
    <w:rsid w:val="00432B52"/>
    <w:rsid w:val="00451A4F"/>
    <w:rsid w:val="00460241"/>
    <w:rsid w:val="00476E47"/>
    <w:rsid w:val="00487166"/>
    <w:rsid w:val="004922C9"/>
    <w:rsid w:val="00496AE6"/>
    <w:rsid w:val="004A2ECE"/>
    <w:rsid w:val="004A5405"/>
    <w:rsid w:val="004A7DB6"/>
    <w:rsid w:val="004B350F"/>
    <w:rsid w:val="004E69DB"/>
    <w:rsid w:val="004F65EA"/>
    <w:rsid w:val="004F6E85"/>
    <w:rsid w:val="00515504"/>
    <w:rsid w:val="0052513C"/>
    <w:rsid w:val="00542531"/>
    <w:rsid w:val="00547923"/>
    <w:rsid w:val="00566FD1"/>
    <w:rsid w:val="0058421F"/>
    <w:rsid w:val="005A4A22"/>
    <w:rsid w:val="005B11D8"/>
    <w:rsid w:val="005C7A84"/>
    <w:rsid w:val="005D6C58"/>
    <w:rsid w:val="005E0FA5"/>
    <w:rsid w:val="005E3845"/>
    <w:rsid w:val="00612158"/>
    <w:rsid w:val="00613AD4"/>
    <w:rsid w:val="006266AB"/>
    <w:rsid w:val="006469FA"/>
    <w:rsid w:val="006604AA"/>
    <w:rsid w:val="00670A41"/>
    <w:rsid w:val="00672AEE"/>
    <w:rsid w:val="0067654A"/>
    <w:rsid w:val="00687482"/>
    <w:rsid w:val="0069209F"/>
    <w:rsid w:val="006B651A"/>
    <w:rsid w:val="006D6103"/>
    <w:rsid w:val="006E2D73"/>
    <w:rsid w:val="006E7EB2"/>
    <w:rsid w:val="006F021B"/>
    <w:rsid w:val="006F7645"/>
    <w:rsid w:val="00722E63"/>
    <w:rsid w:val="0072456E"/>
    <w:rsid w:val="00742C92"/>
    <w:rsid w:val="00777D53"/>
    <w:rsid w:val="0078580E"/>
    <w:rsid w:val="007A056B"/>
    <w:rsid w:val="007A2F31"/>
    <w:rsid w:val="007B3BE5"/>
    <w:rsid w:val="007B542A"/>
    <w:rsid w:val="007D237D"/>
    <w:rsid w:val="007D7B6F"/>
    <w:rsid w:val="007E2502"/>
    <w:rsid w:val="00804B71"/>
    <w:rsid w:val="008065EE"/>
    <w:rsid w:val="00821E14"/>
    <w:rsid w:val="0086452C"/>
    <w:rsid w:val="008836E8"/>
    <w:rsid w:val="008A32BE"/>
    <w:rsid w:val="009062D9"/>
    <w:rsid w:val="0093789E"/>
    <w:rsid w:val="00946BCE"/>
    <w:rsid w:val="009B4B0D"/>
    <w:rsid w:val="009C53C9"/>
    <w:rsid w:val="00A25DF6"/>
    <w:rsid w:val="00A43430"/>
    <w:rsid w:val="00A71957"/>
    <w:rsid w:val="00A8667B"/>
    <w:rsid w:val="00A95B18"/>
    <w:rsid w:val="00AC50DC"/>
    <w:rsid w:val="00AD021B"/>
    <w:rsid w:val="00B12E0A"/>
    <w:rsid w:val="00B422F4"/>
    <w:rsid w:val="00B62F99"/>
    <w:rsid w:val="00B85528"/>
    <w:rsid w:val="00B92506"/>
    <w:rsid w:val="00B950B5"/>
    <w:rsid w:val="00BB588B"/>
    <w:rsid w:val="00BD032E"/>
    <w:rsid w:val="00BD623A"/>
    <w:rsid w:val="00BE2250"/>
    <w:rsid w:val="00C04855"/>
    <w:rsid w:val="00C0786C"/>
    <w:rsid w:val="00C3659E"/>
    <w:rsid w:val="00C613BA"/>
    <w:rsid w:val="00C7414A"/>
    <w:rsid w:val="00C82344"/>
    <w:rsid w:val="00C96543"/>
    <w:rsid w:val="00CB7FFD"/>
    <w:rsid w:val="00CD37E6"/>
    <w:rsid w:val="00CF18BE"/>
    <w:rsid w:val="00CF1A92"/>
    <w:rsid w:val="00D42C96"/>
    <w:rsid w:val="00D6566F"/>
    <w:rsid w:val="00D666E3"/>
    <w:rsid w:val="00D8397E"/>
    <w:rsid w:val="00D866D4"/>
    <w:rsid w:val="00D91023"/>
    <w:rsid w:val="00DA5934"/>
    <w:rsid w:val="00DB403D"/>
    <w:rsid w:val="00DB5474"/>
    <w:rsid w:val="00DC370B"/>
    <w:rsid w:val="00DC53CF"/>
    <w:rsid w:val="00DD1CFE"/>
    <w:rsid w:val="00DF4AF6"/>
    <w:rsid w:val="00E07D13"/>
    <w:rsid w:val="00E21469"/>
    <w:rsid w:val="00E33EAC"/>
    <w:rsid w:val="00E35D45"/>
    <w:rsid w:val="00E7034E"/>
    <w:rsid w:val="00EA003C"/>
    <w:rsid w:val="00EC766F"/>
    <w:rsid w:val="00EF6BC4"/>
    <w:rsid w:val="00F06263"/>
    <w:rsid w:val="00F068F0"/>
    <w:rsid w:val="00F0723D"/>
    <w:rsid w:val="00F1330C"/>
    <w:rsid w:val="00F47F45"/>
    <w:rsid w:val="00F61033"/>
    <w:rsid w:val="00FD1BBA"/>
    <w:rsid w:val="00FD1C85"/>
    <w:rsid w:val="00FE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2" type="connector" idref="#AutoShape 3"/>
      </o:rules>
    </o:shapelayout>
  </w:shapeDefaults>
  <w:decimalSymbol w:val="."/>
  <w:listSeparator w:val=","/>
  <w15:docId w15:val="{5D85E416-D839-4A7F-B940-D5283294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59E"/>
    <w:pPr>
      <w:spacing w:after="200" w:line="276" w:lineRule="auto"/>
    </w:pPr>
    <w:rPr>
      <w:rFonts w:ascii="Calibri" w:eastAsia="Times New Roman"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659E"/>
    <w:rPr>
      <w:rFonts w:ascii="Calibri" w:eastAsia="Times New Roman" w:hAnsi="Calibri"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1"/>
    <w:rsid w:val="00C3659E"/>
    <w:rPr>
      <w:rFonts w:cs="Times New Roman"/>
      <w:sz w:val="16"/>
      <w:szCs w:val="16"/>
    </w:rPr>
  </w:style>
  <w:style w:type="paragraph" w:styleId="CommentText">
    <w:name w:val="annotation text"/>
    <w:basedOn w:val="Normal"/>
    <w:link w:val="CommentTextChar"/>
    <w:uiPriority w:val="99"/>
    <w:rsid w:val="00C3659E"/>
    <w:pPr>
      <w:spacing w:line="240" w:lineRule="auto"/>
    </w:pPr>
    <w:rPr>
      <w:rFonts w:eastAsia="Calibri"/>
      <w:sz w:val="20"/>
      <w:szCs w:val="20"/>
    </w:rPr>
  </w:style>
  <w:style w:type="character" w:customStyle="1" w:styleId="CommentTextChar">
    <w:name w:val="Comment Text Char"/>
    <w:basedOn w:val="DefaultParagraphFont"/>
    <w:link w:val="CommentText"/>
    <w:uiPriority w:val="99"/>
    <w:rsid w:val="00C3659E"/>
    <w:rPr>
      <w:rFonts w:ascii="Calibri" w:eastAsia="Calibri" w:hAnsi="Calibri" w:cs="Times New Roman"/>
      <w:lang w:val="en-AU"/>
    </w:rPr>
  </w:style>
  <w:style w:type="paragraph" w:customStyle="1" w:styleId="AHPRATitle">
    <w:name w:val="AHPRA Title"/>
    <w:basedOn w:val="Normal"/>
    <w:next w:val="Normal"/>
    <w:qFormat/>
    <w:rsid w:val="00C3659E"/>
    <w:pPr>
      <w:spacing w:line="240" w:lineRule="auto"/>
      <w:outlineLvl w:val="0"/>
    </w:pPr>
    <w:rPr>
      <w:rFonts w:ascii="Arial" w:hAnsi="Arial" w:cs="Arial"/>
      <w:color w:val="808080"/>
      <w:sz w:val="44"/>
      <w:szCs w:val="52"/>
    </w:rPr>
  </w:style>
  <w:style w:type="paragraph" w:customStyle="1" w:styleId="TableText">
    <w:name w:val="TableText"/>
    <w:basedOn w:val="Normal"/>
    <w:rsid w:val="00C3659E"/>
    <w:pPr>
      <w:keepNext/>
      <w:spacing w:before="120" w:after="120" w:line="240" w:lineRule="auto"/>
    </w:pPr>
    <w:rPr>
      <w:rFonts w:ascii="Helvetica Narrow" w:eastAsia="Calibri" w:hAnsi="Helvetica Narrow"/>
      <w:color w:val="000000"/>
      <w:sz w:val="20"/>
      <w:szCs w:val="24"/>
    </w:rPr>
  </w:style>
  <w:style w:type="paragraph" w:styleId="BalloonText">
    <w:name w:val="Balloon Text"/>
    <w:basedOn w:val="Normal"/>
    <w:link w:val="BalloonTextChar"/>
    <w:uiPriority w:val="99"/>
    <w:semiHidden/>
    <w:unhideWhenUsed/>
    <w:rsid w:val="00C36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9E"/>
    <w:rPr>
      <w:rFonts w:ascii="Tahoma" w:eastAsia="Times New Roman" w:hAnsi="Tahoma" w:cs="Tahoma"/>
      <w:sz w:val="16"/>
      <w:szCs w:val="16"/>
      <w:lang w:val="en-AU"/>
    </w:rPr>
  </w:style>
  <w:style w:type="paragraph" w:styleId="ListParagraph">
    <w:name w:val="List Paragraph"/>
    <w:basedOn w:val="Normal"/>
    <w:link w:val="ListParagraphChar"/>
    <w:uiPriority w:val="34"/>
    <w:qFormat/>
    <w:rsid w:val="00A43430"/>
    <w:pPr>
      <w:ind w:left="720"/>
      <w:contextualSpacing/>
    </w:pPr>
  </w:style>
  <w:style w:type="paragraph" w:customStyle="1" w:styleId="AHPRAHeadline">
    <w:name w:val="AHPRA Headline"/>
    <w:basedOn w:val="Normal"/>
    <w:qFormat/>
    <w:rsid w:val="00A43430"/>
    <w:pPr>
      <w:spacing w:line="240" w:lineRule="auto"/>
    </w:pPr>
    <w:rPr>
      <w:rFonts w:ascii="Arial" w:hAnsi="Arial"/>
      <w:color w:val="008EC4"/>
      <w:sz w:val="28"/>
      <w:szCs w:val="24"/>
      <w:lang w:val="en-US"/>
    </w:rPr>
  </w:style>
  <w:style w:type="paragraph" w:customStyle="1" w:styleId="AHPRASubhead">
    <w:name w:val="AHPRA Subhead"/>
    <w:basedOn w:val="Normal"/>
    <w:qFormat/>
    <w:rsid w:val="00A43430"/>
    <w:pPr>
      <w:spacing w:line="240" w:lineRule="auto"/>
    </w:pPr>
    <w:rPr>
      <w:rFonts w:ascii="Arial" w:hAnsi="Arial"/>
      <w:b/>
      <w:color w:val="008EC4"/>
      <w:sz w:val="20"/>
      <w:szCs w:val="24"/>
      <w:lang w:val="en-US"/>
    </w:rPr>
  </w:style>
  <w:style w:type="character" w:customStyle="1" w:styleId="ListParagraphChar">
    <w:name w:val="List Paragraph Char"/>
    <w:link w:val="ListParagraph"/>
    <w:uiPriority w:val="34"/>
    <w:locked/>
    <w:rsid w:val="00A43430"/>
    <w:rPr>
      <w:rFonts w:ascii="Calibri" w:eastAsia="Times New Roman" w:hAnsi="Calibri" w:cs="Times New Roman"/>
      <w:sz w:val="22"/>
      <w:szCs w:val="22"/>
      <w:lang w:val="en-AU"/>
    </w:rPr>
  </w:style>
  <w:style w:type="paragraph" w:styleId="Header">
    <w:name w:val="header"/>
    <w:basedOn w:val="Normal"/>
    <w:link w:val="HeaderChar"/>
    <w:uiPriority w:val="99"/>
    <w:unhideWhenUsed/>
    <w:rsid w:val="00A43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30"/>
    <w:rPr>
      <w:rFonts w:ascii="Calibri" w:eastAsia="Times New Roman" w:hAnsi="Calibri" w:cs="Times New Roman"/>
      <w:sz w:val="22"/>
      <w:szCs w:val="22"/>
      <w:lang w:val="en-AU"/>
    </w:rPr>
  </w:style>
  <w:style w:type="paragraph" w:styleId="Footer">
    <w:name w:val="footer"/>
    <w:basedOn w:val="Normal"/>
    <w:link w:val="FooterChar"/>
    <w:uiPriority w:val="99"/>
    <w:unhideWhenUsed/>
    <w:rsid w:val="00A43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30"/>
    <w:rPr>
      <w:rFonts w:ascii="Calibri" w:eastAsia="Times New Roman" w:hAnsi="Calibri" w:cs="Times New Roman"/>
      <w:sz w:val="22"/>
      <w:szCs w:val="22"/>
      <w:lang w:val="en-AU"/>
    </w:rPr>
  </w:style>
  <w:style w:type="paragraph" w:styleId="CommentSubject">
    <w:name w:val="annotation subject"/>
    <w:basedOn w:val="CommentText"/>
    <w:next w:val="CommentText"/>
    <w:link w:val="CommentSubjectChar"/>
    <w:uiPriority w:val="99"/>
    <w:semiHidden/>
    <w:unhideWhenUsed/>
    <w:rsid w:val="001A6FF0"/>
    <w:rPr>
      <w:rFonts w:eastAsia="Times New Roman"/>
      <w:b/>
      <w:bCs/>
    </w:rPr>
  </w:style>
  <w:style w:type="character" w:customStyle="1" w:styleId="CommentSubjectChar">
    <w:name w:val="Comment Subject Char"/>
    <w:basedOn w:val="CommentTextChar"/>
    <w:link w:val="CommentSubject"/>
    <w:uiPriority w:val="99"/>
    <w:semiHidden/>
    <w:rsid w:val="001A6FF0"/>
    <w:rPr>
      <w:rFonts w:ascii="Calibri" w:eastAsia="Times New Roman" w:hAnsi="Calibri" w:cs="Times New Roman"/>
      <w:b/>
      <w:bCs/>
      <w:lang w:val="en-AU"/>
    </w:rPr>
  </w:style>
  <w:style w:type="paragraph" w:customStyle="1" w:styleId="AHPRAbodytext">
    <w:name w:val="AHPRA body text"/>
    <w:basedOn w:val="Normal"/>
    <w:rsid w:val="00B12E0A"/>
    <w:pPr>
      <w:spacing w:line="240" w:lineRule="auto"/>
    </w:pPr>
    <w:rPr>
      <w:rFonts w:ascii="Arial" w:eastAsia="Cambria" w:hAnsi="Arial" w:cs="Arial"/>
      <w:sz w:val="20"/>
      <w:szCs w:val="24"/>
      <w:lang w:val="en-US"/>
    </w:rPr>
  </w:style>
  <w:style w:type="paragraph" w:customStyle="1" w:styleId="AHPRADocumenttitle">
    <w:name w:val="AHPRA Document title"/>
    <w:basedOn w:val="Normal"/>
    <w:rsid w:val="00192714"/>
    <w:pPr>
      <w:spacing w:before="200" w:line="240" w:lineRule="auto"/>
      <w:outlineLvl w:val="0"/>
    </w:pPr>
    <w:rPr>
      <w:rFonts w:ascii="Arial" w:eastAsia="Cambria" w:hAnsi="Arial" w:cs="Arial"/>
      <w:color w:val="00BCCE"/>
      <w:sz w:val="32"/>
      <w:szCs w:val="52"/>
      <w:lang w:val="en-US"/>
    </w:rPr>
  </w:style>
  <w:style w:type="paragraph" w:customStyle="1" w:styleId="AHPRADocumentsubheading">
    <w:name w:val="AHPRA Document subheading"/>
    <w:basedOn w:val="Normal"/>
    <w:next w:val="Normal"/>
    <w:uiPriority w:val="99"/>
    <w:qFormat/>
    <w:rsid w:val="00192714"/>
    <w:pPr>
      <w:spacing w:line="240" w:lineRule="auto"/>
      <w:outlineLvl w:val="0"/>
    </w:pPr>
    <w:rPr>
      <w:rFonts w:ascii="Arial" w:eastAsia="Cambria" w:hAnsi="Arial" w:cs="Arial"/>
      <w:color w:val="808080"/>
      <w:sz w:val="28"/>
      <w:szCs w:val="52"/>
      <w:lang w:val="en-US"/>
    </w:rPr>
  </w:style>
  <w:style w:type="paragraph" w:customStyle="1" w:styleId="AHPRAfooter">
    <w:name w:val="AHPRA footer"/>
    <w:basedOn w:val="FootnoteText"/>
    <w:rsid w:val="00192714"/>
  </w:style>
  <w:style w:type="paragraph" w:customStyle="1" w:styleId="AHPRAfirstpagefooter">
    <w:name w:val="AHPRA first page footer"/>
    <w:basedOn w:val="AHPRAfooter"/>
    <w:rsid w:val="00192714"/>
    <w:pPr>
      <w:jc w:val="center"/>
    </w:pPr>
    <w:rPr>
      <w:rFonts w:ascii="Arial" w:eastAsia="Cambria" w:hAnsi="Arial" w:cs="Arial"/>
      <w:b/>
      <w:color w:val="5F6062"/>
      <w:sz w:val="18"/>
    </w:rPr>
  </w:style>
  <w:style w:type="paragraph" w:styleId="FootnoteText">
    <w:name w:val="footnote text"/>
    <w:basedOn w:val="Normal"/>
    <w:link w:val="FootnoteTextChar"/>
    <w:uiPriority w:val="99"/>
    <w:semiHidden/>
    <w:unhideWhenUsed/>
    <w:rsid w:val="001927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2714"/>
    <w:rPr>
      <w:rFonts w:ascii="Calibri" w:eastAsia="Times New Roman" w:hAnsi="Calibri" w:cs="Times New Roman"/>
      <w:lang w:val="en-AU"/>
    </w:rPr>
  </w:style>
  <w:style w:type="character" w:styleId="Hyperlink">
    <w:name w:val="Hyperlink"/>
    <w:uiPriority w:val="99"/>
    <w:unhideWhenUsed/>
    <w:rsid w:val="007B3BE5"/>
    <w:rPr>
      <w:color w:val="0000FF"/>
      <w:u w:val="single"/>
    </w:rPr>
  </w:style>
  <w:style w:type="paragraph" w:customStyle="1" w:styleId="AHPRAbody">
    <w:name w:val="AHPRA body"/>
    <w:basedOn w:val="Normal"/>
    <w:link w:val="AHPRAbodyChar"/>
    <w:qFormat/>
    <w:rsid w:val="007B3BE5"/>
    <w:pPr>
      <w:spacing w:line="240" w:lineRule="auto"/>
    </w:pPr>
    <w:rPr>
      <w:rFonts w:ascii="Arial" w:eastAsia="Cambria" w:hAnsi="Arial" w:cs="Arial"/>
      <w:sz w:val="20"/>
      <w:szCs w:val="24"/>
    </w:rPr>
  </w:style>
  <w:style w:type="character" w:customStyle="1" w:styleId="AHPRAbodyChar">
    <w:name w:val="AHPRA body Char"/>
    <w:basedOn w:val="DefaultParagraphFont"/>
    <w:link w:val="AHPRAbody"/>
    <w:rsid w:val="007B3BE5"/>
    <w:rPr>
      <w:rFonts w:eastAsia="Cambria"/>
      <w:szCs w:val="24"/>
      <w:lang w:val="en-AU"/>
    </w:rPr>
  </w:style>
  <w:style w:type="paragraph" w:customStyle="1" w:styleId="Default">
    <w:name w:val="Default"/>
    <w:rsid w:val="003136CD"/>
    <w:pPr>
      <w:autoSpaceDE w:val="0"/>
      <w:autoSpaceDN w:val="0"/>
      <w:adjustRightInd w:val="0"/>
    </w:pPr>
    <w:rPr>
      <w:rFonts w:eastAsia="Cambria"/>
      <w:color w:val="000000"/>
      <w:sz w:val="24"/>
      <w:szCs w:val="24"/>
      <w:lang w:val="en-AU"/>
    </w:rPr>
  </w:style>
  <w:style w:type="character" w:styleId="FollowedHyperlink">
    <w:name w:val="FollowedHyperlink"/>
    <w:basedOn w:val="DefaultParagraphFont"/>
    <w:uiPriority w:val="99"/>
    <w:semiHidden/>
    <w:unhideWhenUsed/>
    <w:rsid w:val="005A4A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tomconsultation@ahpra.gov.au?subject=Public%20consultation%20on%20revised%20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4506C-9389-4714-B899-A3084FBD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Response template  - CPD and POA - 25 September 2015</vt:lpstr>
    </vt:vector>
  </TitlesOfParts>
  <Company>AHPRA</Company>
  <LinksUpToDate>false</LinksUpToDate>
  <CharactersWithSpaces>10424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Revised guidelines for CPD for endorsed and non-endorsed optometrists and POA - Cornea &amp; Contact Lens Society of Australia</dc:title>
  <dc:subject>Submission</dc:subject>
  <dc:creator>Optometry Board</dc:creator>
  <cp:lastModifiedBy>Sheryl Kamath</cp:lastModifiedBy>
  <cp:revision>2</cp:revision>
  <cp:lastPrinted>2013-10-08T04:30:00Z</cp:lastPrinted>
  <dcterms:created xsi:type="dcterms:W3CDTF">2016-04-26T23:46:00Z</dcterms:created>
  <dcterms:modified xsi:type="dcterms:W3CDTF">2016-04-26T23:46:00Z</dcterms:modified>
</cp:coreProperties>
</file>