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697CE" w14:textId="77777777" w:rsidR="001651D4" w:rsidRDefault="001651D4" w:rsidP="00A026AF">
      <w:pPr>
        <w:spacing w:after="0"/>
      </w:pPr>
      <w:bookmarkStart w:id="0" w:name="_GoBack"/>
      <w:bookmarkEnd w:id="0"/>
      <w:r>
        <w:t>Optometry Board of Australia</w:t>
      </w:r>
    </w:p>
    <w:p w14:paraId="5ACA7ADF" w14:textId="77777777" w:rsidR="001651D4" w:rsidRDefault="001651D4" w:rsidP="00A026AF">
      <w:pPr>
        <w:spacing w:after="0"/>
      </w:pPr>
      <w:r>
        <w:t>GPO Box 9958</w:t>
      </w:r>
    </w:p>
    <w:p w14:paraId="27F15A5D" w14:textId="2B8DAA22" w:rsidR="001651D4" w:rsidRDefault="000F1A4E" w:rsidP="00A026AF">
      <w:pPr>
        <w:spacing w:after="0"/>
      </w:pPr>
      <w:r>
        <w:t>Melbourne Vic 3001</w:t>
      </w:r>
    </w:p>
    <w:p w14:paraId="3D8BE598" w14:textId="6B5256D4" w:rsidR="00185C98" w:rsidRDefault="00185C98" w:rsidP="00A026AF">
      <w:pPr>
        <w:spacing w:after="0"/>
        <w:rPr>
          <w:b/>
          <w:bCs/>
        </w:rPr>
      </w:pPr>
      <w:r>
        <w:rPr>
          <w:b/>
          <w:bCs/>
        </w:rPr>
        <w:t xml:space="preserve">Via email: </w:t>
      </w:r>
      <w:hyperlink r:id="rId6" w:history="1">
        <w:r w:rsidRPr="00BA5FBE">
          <w:rPr>
            <w:rStyle w:val="Hyperlink"/>
            <w:b/>
            <w:bCs/>
          </w:rPr>
          <w:t>optomconsultation@ahpra.gov.au</w:t>
        </w:r>
      </w:hyperlink>
    </w:p>
    <w:p w14:paraId="50D9EAA4" w14:textId="77777777" w:rsidR="00185C98" w:rsidRDefault="00185C98" w:rsidP="00185C98">
      <w:pPr>
        <w:rPr>
          <w:b/>
          <w:bCs/>
        </w:rPr>
      </w:pPr>
    </w:p>
    <w:p w14:paraId="389AD4F9" w14:textId="2FD5BBD2" w:rsidR="000F1A4E" w:rsidRDefault="00481DF5" w:rsidP="00185C98">
      <w:pPr>
        <w:rPr>
          <w:b/>
          <w:bCs/>
        </w:rPr>
      </w:pPr>
      <w:r>
        <w:rPr>
          <w:b/>
          <w:bCs/>
        </w:rPr>
        <w:t>S</w:t>
      </w:r>
      <w:r w:rsidR="00185C98">
        <w:rPr>
          <w:b/>
          <w:bCs/>
        </w:rPr>
        <w:t xml:space="preserve">ubmission to OBA </w:t>
      </w:r>
      <w:r w:rsidR="005B4E79">
        <w:rPr>
          <w:b/>
          <w:bCs/>
        </w:rPr>
        <w:t xml:space="preserve">on </w:t>
      </w:r>
      <w:r w:rsidR="00185C98">
        <w:rPr>
          <w:b/>
          <w:bCs/>
        </w:rPr>
        <w:t>consultation guidelines for continuing professional development for endorsed and non-endorsed optometrists</w:t>
      </w:r>
    </w:p>
    <w:p w14:paraId="291C3AA8" w14:textId="391A6F11" w:rsidR="00185C98" w:rsidRDefault="00185C98" w:rsidP="005F2527">
      <w:pPr>
        <w:jc w:val="both"/>
        <w:rPr>
          <w:bCs/>
        </w:rPr>
      </w:pPr>
      <w:r>
        <w:rPr>
          <w:bCs/>
        </w:rPr>
        <w:t>The Australian Society of Ophthalmologists (ASO)</w:t>
      </w:r>
      <w:r w:rsidR="000F1A4E">
        <w:rPr>
          <w:bCs/>
        </w:rPr>
        <w:t xml:space="preserve"> thanks the OBA for welcoming consultation on its proposed guidelines for continuing professional development for endorsed and non-endorsed optometrists (</w:t>
      </w:r>
      <w:r w:rsidR="0004337A">
        <w:rPr>
          <w:bCs/>
        </w:rPr>
        <w:t xml:space="preserve">CPD </w:t>
      </w:r>
      <w:r w:rsidR="000F1A4E">
        <w:rPr>
          <w:bCs/>
        </w:rPr>
        <w:t>guidelines).</w:t>
      </w:r>
    </w:p>
    <w:p w14:paraId="6AD89F0D" w14:textId="7DBE64FF" w:rsidR="0004337A" w:rsidRDefault="00481DF5" w:rsidP="005F2527">
      <w:pPr>
        <w:jc w:val="both"/>
        <w:rPr>
          <w:bCs/>
        </w:rPr>
      </w:pPr>
      <w:r>
        <w:rPr>
          <w:bCs/>
        </w:rPr>
        <w:t>The AS</w:t>
      </w:r>
      <w:r w:rsidR="0015411C">
        <w:rPr>
          <w:bCs/>
        </w:rPr>
        <w:t>O recommends these CPD guidelines</w:t>
      </w:r>
      <w:r w:rsidRPr="00481DF5">
        <w:rPr>
          <w:bCs/>
        </w:rPr>
        <w:t xml:space="preserve"> </w:t>
      </w:r>
      <w:r>
        <w:rPr>
          <w:bCs/>
        </w:rPr>
        <w:t>more</w:t>
      </w:r>
      <w:r w:rsidRPr="00481DF5">
        <w:rPr>
          <w:bCs/>
        </w:rPr>
        <w:t xml:space="preserve"> comprehensively describe the knowledge, skills and </w:t>
      </w:r>
      <w:proofErr w:type="spellStart"/>
      <w:r w:rsidRPr="00481DF5">
        <w:rPr>
          <w:bCs/>
        </w:rPr>
        <w:t>behaviours</w:t>
      </w:r>
      <w:proofErr w:type="spellEnd"/>
      <w:r w:rsidRPr="00481DF5">
        <w:rPr>
          <w:bCs/>
        </w:rPr>
        <w:t xml:space="preserve"> required of optometrists who are endorsed to prescribe scheduled medicines in line with the N</w:t>
      </w:r>
      <w:r>
        <w:rPr>
          <w:bCs/>
        </w:rPr>
        <w:t xml:space="preserve">ational </w:t>
      </w:r>
      <w:r w:rsidRPr="00481DF5">
        <w:rPr>
          <w:bCs/>
        </w:rPr>
        <w:t>P</w:t>
      </w:r>
      <w:r>
        <w:rPr>
          <w:bCs/>
        </w:rPr>
        <w:t xml:space="preserve">rescribing </w:t>
      </w:r>
      <w:r w:rsidRPr="00481DF5">
        <w:rPr>
          <w:bCs/>
        </w:rPr>
        <w:t>S</w:t>
      </w:r>
      <w:r>
        <w:rPr>
          <w:bCs/>
        </w:rPr>
        <w:t>ervice</w:t>
      </w:r>
      <w:r w:rsidRPr="00481DF5">
        <w:rPr>
          <w:bCs/>
        </w:rPr>
        <w:t xml:space="preserve"> </w:t>
      </w:r>
      <w:proofErr w:type="spellStart"/>
      <w:r w:rsidRPr="00481DF5">
        <w:rPr>
          <w:bCs/>
        </w:rPr>
        <w:t>Medicine</w:t>
      </w:r>
      <w:r>
        <w:rPr>
          <w:bCs/>
        </w:rPr>
        <w:t>s</w:t>
      </w:r>
      <w:r w:rsidRPr="00481DF5">
        <w:rPr>
          <w:bCs/>
        </w:rPr>
        <w:t>Wise</w:t>
      </w:r>
      <w:proofErr w:type="spellEnd"/>
      <w:r w:rsidRPr="00481DF5">
        <w:rPr>
          <w:bCs/>
        </w:rPr>
        <w:t xml:space="preserve"> prescri</w:t>
      </w:r>
      <w:r>
        <w:rPr>
          <w:bCs/>
        </w:rPr>
        <w:t>bing competencies framework</w:t>
      </w:r>
      <w:r>
        <w:rPr>
          <w:rStyle w:val="FootnoteReference"/>
          <w:bCs/>
        </w:rPr>
        <w:footnoteReference w:id="1"/>
      </w:r>
      <w:r w:rsidR="002F0846">
        <w:rPr>
          <w:bCs/>
        </w:rPr>
        <w:t>.</w:t>
      </w:r>
    </w:p>
    <w:p w14:paraId="4F9A564D" w14:textId="213296F0" w:rsidR="000F1A4E" w:rsidRDefault="0004337A" w:rsidP="005F2527">
      <w:pPr>
        <w:jc w:val="both"/>
        <w:rPr>
          <w:bCs/>
        </w:rPr>
      </w:pPr>
      <w:r>
        <w:rPr>
          <w:bCs/>
        </w:rPr>
        <w:t>The ASO</w:t>
      </w:r>
      <w:r w:rsidR="0015411C">
        <w:rPr>
          <w:bCs/>
        </w:rPr>
        <w:t xml:space="preserve"> also recommends </w:t>
      </w:r>
      <w:r>
        <w:rPr>
          <w:bCs/>
        </w:rPr>
        <w:t>these CPD guidelines</w:t>
      </w:r>
      <w:r w:rsidR="00C41548">
        <w:rPr>
          <w:bCs/>
        </w:rPr>
        <w:t xml:space="preserve"> specifically</w:t>
      </w:r>
      <w:r>
        <w:rPr>
          <w:bCs/>
        </w:rPr>
        <w:t xml:space="preserve"> include education on the co-management of glaucoma treatment in line with RA</w:t>
      </w:r>
      <w:r w:rsidR="00C41548">
        <w:rPr>
          <w:bCs/>
        </w:rPr>
        <w:t>N</w:t>
      </w:r>
      <w:r>
        <w:rPr>
          <w:bCs/>
        </w:rPr>
        <w:t xml:space="preserve">ZCO Principles for Collaborative Care of Glaucoma Patients. </w:t>
      </w:r>
      <w:r w:rsidR="00C41548">
        <w:rPr>
          <w:bCs/>
        </w:rPr>
        <w:t xml:space="preserve"> </w:t>
      </w:r>
      <w:r w:rsidR="002F0846">
        <w:rPr>
          <w:bCs/>
        </w:rPr>
        <w:t xml:space="preserve">As specified in the OBA’s </w:t>
      </w:r>
      <w:r>
        <w:rPr>
          <w:bCs/>
        </w:rPr>
        <w:t>guidelines</w:t>
      </w:r>
      <w:r w:rsidR="002F0846">
        <w:rPr>
          <w:bCs/>
        </w:rPr>
        <w:t xml:space="preserve"> for use of </w:t>
      </w:r>
      <w:r>
        <w:rPr>
          <w:bCs/>
        </w:rPr>
        <w:t>scheduled medicines</w:t>
      </w:r>
      <w:r w:rsidR="00C41548">
        <w:rPr>
          <w:bCs/>
        </w:rPr>
        <w:t>,</w:t>
      </w:r>
      <w:r w:rsidR="002F0846">
        <w:rPr>
          <w:bCs/>
        </w:rPr>
        <w:t xml:space="preserve"> optometrists must provide a referral to ophthalmologists </w:t>
      </w:r>
      <w:r w:rsidR="005F2527">
        <w:rPr>
          <w:bCs/>
        </w:rPr>
        <w:t>for</w:t>
      </w:r>
      <w:r w:rsidR="00C41548">
        <w:rPr>
          <w:bCs/>
        </w:rPr>
        <w:t xml:space="preserve"> </w:t>
      </w:r>
      <w:r w:rsidR="002F0846">
        <w:rPr>
          <w:bCs/>
        </w:rPr>
        <w:t>Glaucoma treatment within 4 months after making</w:t>
      </w:r>
      <w:r w:rsidR="005F2527">
        <w:rPr>
          <w:bCs/>
        </w:rPr>
        <w:t xml:space="preserve"> any</w:t>
      </w:r>
      <w:r w:rsidR="002F0846">
        <w:rPr>
          <w:bCs/>
        </w:rPr>
        <w:t xml:space="preserve"> initial diagnosis.</w:t>
      </w:r>
      <w:r>
        <w:rPr>
          <w:bCs/>
        </w:rPr>
        <w:t xml:space="preserve"> </w:t>
      </w:r>
      <w:r w:rsidR="00C41548">
        <w:rPr>
          <w:bCs/>
        </w:rPr>
        <w:t>Therefore co-management education on Glaucoma treatment going forward will ensure patients</w:t>
      </w:r>
      <w:r w:rsidR="0015411C">
        <w:rPr>
          <w:bCs/>
        </w:rPr>
        <w:t xml:space="preserve"> receive</w:t>
      </w:r>
      <w:r w:rsidR="00C41548">
        <w:rPr>
          <w:bCs/>
        </w:rPr>
        <w:t xml:space="preserve"> safe</w:t>
      </w:r>
      <w:r w:rsidR="005F2527">
        <w:rPr>
          <w:bCs/>
        </w:rPr>
        <w:t xml:space="preserve"> and effective treatment continuity.</w:t>
      </w:r>
    </w:p>
    <w:p w14:paraId="51EBC7A2" w14:textId="2429B93D" w:rsidR="00A026AF" w:rsidRPr="00185C98" w:rsidRDefault="00A026AF" w:rsidP="005F2527">
      <w:pPr>
        <w:jc w:val="both"/>
        <w:rPr>
          <w:bCs/>
        </w:rPr>
      </w:pPr>
      <w:r>
        <w:rPr>
          <w:bCs/>
        </w:rPr>
        <w:t>The ASO also shares the concerns of RANZCO and AMA regarding to Board’s proposed role in both accrediting and auditing CPD providers, which is inconsistent with AHPRA practice standards and also Australian and international practice which requires role clarity between these two functions</w:t>
      </w:r>
      <w:r>
        <w:rPr>
          <w:rStyle w:val="FootnoteReference"/>
          <w:bCs/>
        </w:rPr>
        <w:footnoteReference w:id="2"/>
      </w:r>
      <w:r w:rsidR="005F2527">
        <w:rPr>
          <w:bCs/>
        </w:rPr>
        <w:t xml:space="preserve"> </w:t>
      </w:r>
      <w:r>
        <w:rPr>
          <w:rStyle w:val="FootnoteReference"/>
          <w:bCs/>
        </w:rPr>
        <w:footnoteReference w:id="3"/>
      </w:r>
    </w:p>
    <w:p w14:paraId="1F9E1089" w14:textId="0DED216D" w:rsidR="005F2527" w:rsidRPr="005F2527" w:rsidRDefault="005F2527" w:rsidP="00091C6F">
      <w:pPr>
        <w:rPr>
          <w:b/>
        </w:rPr>
      </w:pPr>
      <w:r w:rsidRPr="005F2527">
        <w:rPr>
          <w:b/>
        </w:rPr>
        <w:t>NOVEMBER 2015</w:t>
      </w:r>
    </w:p>
    <w:p w14:paraId="21740C74" w14:textId="130EAA8A" w:rsidR="005F2527" w:rsidRPr="005F2527" w:rsidRDefault="005F2527" w:rsidP="00091C6F">
      <w:pPr>
        <w:rPr>
          <w:u w:val="single"/>
        </w:rPr>
      </w:pPr>
      <w:r w:rsidRPr="005F2527">
        <w:rPr>
          <w:u w:val="single"/>
        </w:rPr>
        <w:t>Contact</w:t>
      </w:r>
    </w:p>
    <w:p w14:paraId="1A002817" w14:textId="098216ED" w:rsidR="005F2527" w:rsidRDefault="005F2527" w:rsidP="005F2527">
      <w:pPr>
        <w:spacing w:after="0"/>
      </w:pPr>
      <w:r>
        <w:t>Katrina Ronne</w:t>
      </w:r>
    </w:p>
    <w:p w14:paraId="5EB63FD6" w14:textId="13CDCF51" w:rsidR="005F2527" w:rsidRDefault="005F2527" w:rsidP="005F2527">
      <w:pPr>
        <w:spacing w:after="0"/>
      </w:pPr>
      <w:r>
        <w:t>Manager, Policy and Communications</w:t>
      </w:r>
    </w:p>
    <w:p w14:paraId="04173297" w14:textId="141051B5" w:rsidR="005F2527" w:rsidRPr="00091C6F" w:rsidRDefault="00CA42BD" w:rsidP="005F2527">
      <w:pPr>
        <w:spacing w:after="0"/>
      </w:pPr>
      <w:hyperlink r:id="rId7" w:history="1">
        <w:r w:rsidR="005F2527" w:rsidRPr="00BA5FBE">
          <w:rPr>
            <w:rStyle w:val="Hyperlink"/>
          </w:rPr>
          <w:t>katrina@aso.asn.au</w:t>
        </w:r>
      </w:hyperlink>
      <w:r w:rsidR="005F2527">
        <w:tab/>
      </w:r>
      <w:r w:rsidR="005F2527">
        <w:tab/>
        <w:t>07 3831 3006</w:t>
      </w:r>
    </w:p>
    <w:sectPr w:rsidR="005F2527" w:rsidRPr="00091C6F" w:rsidSect="00ED00BE">
      <w:headerReference w:type="default" r:id="rId8"/>
      <w:pgSz w:w="11900" w:h="16840"/>
      <w:pgMar w:top="2694" w:right="1800" w:bottom="1276"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CB091" w14:textId="77777777" w:rsidR="00A026AF" w:rsidRDefault="00A026AF">
      <w:pPr>
        <w:spacing w:after="0"/>
      </w:pPr>
      <w:r>
        <w:separator/>
      </w:r>
    </w:p>
  </w:endnote>
  <w:endnote w:type="continuationSeparator" w:id="0">
    <w:p w14:paraId="717B8CCB" w14:textId="77777777" w:rsidR="00A026AF" w:rsidRDefault="00A026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AD344" w14:textId="77777777" w:rsidR="00A026AF" w:rsidRDefault="00A026AF">
      <w:pPr>
        <w:spacing w:after="0"/>
      </w:pPr>
      <w:r>
        <w:separator/>
      </w:r>
    </w:p>
  </w:footnote>
  <w:footnote w:type="continuationSeparator" w:id="0">
    <w:p w14:paraId="4CEA9A06" w14:textId="77777777" w:rsidR="00A026AF" w:rsidRDefault="00A026AF">
      <w:pPr>
        <w:spacing w:after="0"/>
      </w:pPr>
      <w:r>
        <w:continuationSeparator/>
      </w:r>
    </w:p>
  </w:footnote>
  <w:footnote w:id="1">
    <w:p w14:paraId="15CE4F87" w14:textId="4496E0F1" w:rsidR="00A026AF" w:rsidRPr="00A026AF" w:rsidRDefault="00A026AF">
      <w:pPr>
        <w:pStyle w:val="FootnoteText"/>
        <w:rPr>
          <w:sz w:val="20"/>
          <w:szCs w:val="20"/>
        </w:rPr>
      </w:pPr>
      <w:r w:rsidRPr="00481DF5">
        <w:rPr>
          <w:rStyle w:val="FootnoteReference"/>
          <w:sz w:val="20"/>
          <w:szCs w:val="20"/>
        </w:rPr>
        <w:footnoteRef/>
      </w:r>
      <w:r w:rsidRPr="00481DF5">
        <w:rPr>
          <w:sz w:val="20"/>
          <w:szCs w:val="20"/>
        </w:rPr>
        <w:t xml:space="preserve"> </w:t>
      </w:r>
      <w:r w:rsidRPr="00481DF5">
        <w:rPr>
          <w:sz w:val="20"/>
          <w:szCs w:val="20"/>
          <w:lang w:val="en-AU"/>
        </w:rPr>
        <w:t xml:space="preserve">NPS: Better choices, Better health. Competencies required to prescribe medicines: putting quality use of medicines into practice. Sydney: National Prescribing Service Limited, 2012.  </w:t>
      </w:r>
      <w:hyperlink r:id="rId1" w:history="1">
        <w:r w:rsidRPr="00481DF5">
          <w:rPr>
            <w:rStyle w:val="Hyperlink"/>
            <w:sz w:val="20"/>
            <w:szCs w:val="20"/>
            <w:lang w:val="en-AU"/>
          </w:rPr>
          <w:t>http://www.nps.org.au/__data/assets/pdf_file/0004/149719/Prescribing_Competencies_Framework.pdf</w:t>
        </w:r>
      </w:hyperlink>
    </w:p>
  </w:footnote>
  <w:footnote w:id="2">
    <w:p w14:paraId="754F94A8" w14:textId="2EF30FD8" w:rsidR="00A026AF" w:rsidRPr="00A026AF" w:rsidRDefault="00A026AF">
      <w:pPr>
        <w:pStyle w:val="FootnoteText"/>
        <w:rPr>
          <w:sz w:val="20"/>
          <w:szCs w:val="20"/>
        </w:rPr>
      </w:pPr>
      <w:r w:rsidRPr="00A026AF">
        <w:rPr>
          <w:rStyle w:val="FootnoteReference"/>
          <w:sz w:val="20"/>
          <w:szCs w:val="20"/>
        </w:rPr>
        <w:footnoteRef/>
      </w:r>
      <w:r w:rsidRPr="00A026AF">
        <w:rPr>
          <w:sz w:val="20"/>
          <w:szCs w:val="20"/>
        </w:rPr>
        <w:t xml:space="preserve"> Australian National Audit Office. Administering Regulation. Achieving the right balance. Better Practice Guide. 2014. Available from: </w:t>
      </w:r>
      <w:hyperlink r:id="rId2" w:history="1">
        <w:r w:rsidRPr="00A026AF">
          <w:rPr>
            <w:rStyle w:val="Hyperlink"/>
            <w:sz w:val="20"/>
            <w:szCs w:val="20"/>
          </w:rPr>
          <w:t>http://www.anao.gov.au/Publications/Better-Practice-Guides/2013-2014/Administering-Regulation</w:t>
        </w:r>
      </w:hyperlink>
      <w:r w:rsidRPr="00A026AF">
        <w:rPr>
          <w:sz w:val="20"/>
          <w:szCs w:val="20"/>
        </w:rPr>
        <w:t>. Last accessed 10/11/2015.</w:t>
      </w:r>
    </w:p>
  </w:footnote>
  <w:footnote w:id="3">
    <w:p w14:paraId="05DE42F2" w14:textId="2607959C" w:rsidR="00A026AF" w:rsidRDefault="00A026AF">
      <w:pPr>
        <w:pStyle w:val="FootnoteText"/>
      </w:pPr>
      <w:r w:rsidRPr="00A026AF">
        <w:rPr>
          <w:rStyle w:val="FootnoteReference"/>
          <w:sz w:val="20"/>
          <w:szCs w:val="20"/>
        </w:rPr>
        <w:footnoteRef/>
      </w:r>
      <w:r w:rsidRPr="00A026AF">
        <w:rPr>
          <w:sz w:val="20"/>
          <w:szCs w:val="20"/>
        </w:rPr>
        <w:t xml:space="preserve"> </w:t>
      </w:r>
      <w:proofErr w:type="spellStart"/>
      <w:r w:rsidRPr="00A026AF">
        <w:rPr>
          <w:sz w:val="20"/>
          <w:szCs w:val="20"/>
        </w:rPr>
        <w:t>Organisation</w:t>
      </w:r>
      <w:proofErr w:type="spellEnd"/>
      <w:r w:rsidRPr="00A026AF">
        <w:rPr>
          <w:sz w:val="20"/>
          <w:szCs w:val="20"/>
        </w:rPr>
        <w:t xml:space="preserve"> for Economic co-operation and Development. OECD Best Practice Principles for Regulatory Policy. 2014. Available from </w:t>
      </w:r>
      <w:hyperlink r:id="rId3" w:history="1">
        <w:r w:rsidRPr="00A026AF">
          <w:rPr>
            <w:rStyle w:val="Hyperlink"/>
            <w:sz w:val="20"/>
            <w:szCs w:val="20"/>
          </w:rPr>
          <w:t>http://www.oecd-ilibrary.org/governance/the-governance-of-regulators_9789264209015-en</w:t>
        </w:r>
      </w:hyperlink>
      <w:r w:rsidRPr="00A026AF">
        <w:rPr>
          <w:sz w:val="20"/>
          <w:szCs w:val="20"/>
        </w:rPr>
        <w:t>. Last accessed 10/11/2015.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9A9D1" w14:textId="77777777" w:rsidR="00A026AF" w:rsidRPr="00ED00BE" w:rsidRDefault="00A026AF" w:rsidP="00ED00BE">
    <w:pPr>
      <w:pStyle w:val="Header"/>
    </w:pPr>
    <w:r>
      <w:rPr>
        <w:noProof/>
        <w:lang w:val="en-AU" w:eastAsia="en-AU"/>
      </w:rPr>
      <w:drawing>
        <wp:anchor distT="0" distB="0" distL="114300" distR="114300" simplePos="0" relativeHeight="251658240" behindDoc="1" locked="1" layoutInCell="1" allowOverlap="1" wp14:anchorId="74ADC6BD" wp14:editId="49AE36AC">
          <wp:simplePos x="0" y="0"/>
          <wp:positionH relativeFrom="page">
            <wp:posOffset>-5080</wp:posOffset>
          </wp:positionH>
          <wp:positionV relativeFrom="page">
            <wp:posOffset>0</wp:posOffset>
          </wp:positionV>
          <wp:extent cx="7571740" cy="10718800"/>
          <wp:effectExtent l="25400" t="0" r="0" b="0"/>
          <wp:wrapNone/>
          <wp:docPr id="2" name="Picture 2" descr="1962_ASO_letterhead_1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2_ASO_letterhead_1HR.jpg"/>
                  <pic:cNvPicPr/>
                </pic:nvPicPr>
                <pic:blipFill>
                  <a:blip r:embed="rId1"/>
                  <a:stretch>
                    <a:fillRect/>
                  </a:stretch>
                </pic:blipFill>
                <pic:spPr>
                  <a:xfrm>
                    <a:off x="0" y="0"/>
                    <a:ext cx="7571740" cy="10718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BE"/>
    <w:rsid w:val="0004337A"/>
    <w:rsid w:val="00091C6F"/>
    <w:rsid w:val="000F1A4E"/>
    <w:rsid w:val="0015411C"/>
    <w:rsid w:val="001651D4"/>
    <w:rsid w:val="00185C98"/>
    <w:rsid w:val="002F0846"/>
    <w:rsid w:val="00406775"/>
    <w:rsid w:val="004459C9"/>
    <w:rsid w:val="00481DF5"/>
    <w:rsid w:val="00483E78"/>
    <w:rsid w:val="005B4E79"/>
    <w:rsid w:val="005F2527"/>
    <w:rsid w:val="00955E33"/>
    <w:rsid w:val="00A026AF"/>
    <w:rsid w:val="00C41548"/>
    <w:rsid w:val="00CA42BD"/>
    <w:rsid w:val="00ED00BE"/>
    <w:rsid w:val="00F900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64222"/>
  <w15:docId w15:val="{1810AFC8-531F-4F45-A3E0-1F9073FF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0BE"/>
    <w:pPr>
      <w:tabs>
        <w:tab w:val="center" w:pos="4320"/>
        <w:tab w:val="right" w:pos="8640"/>
      </w:tabs>
      <w:spacing w:after="0"/>
    </w:pPr>
  </w:style>
  <w:style w:type="character" w:customStyle="1" w:styleId="HeaderChar">
    <w:name w:val="Header Char"/>
    <w:basedOn w:val="DefaultParagraphFont"/>
    <w:link w:val="Header"/>
    <w:uiPriority w:val="99"/>
    <w:rsid w:val="00ED00BE"/>
  </w:style>
  <w:style w:type="paragraph" w:styleId="Footer">
    <w:name w:val="footer"/>
    <w:basedOn w:val="Normal"/>
    <w:link w:val="FooterChar"/>
    <w:uiPriority w:val="99"/>
    <w:semiHidden/>
    <w:unhideWhenUsed/>
    <w:rsid w:val="00ED00BE"/>
    <w:pPr>
      <w:tabs>
        <w:tab w:val="center" w:pos="4320"/>
        <w:tab w:val="right" w:pos="8640"/>
      </w:tabs>
      <w:spacing w:after="0"/>
    </w:pPr>
  </w:style>
  <w:style w:type="character" w:customStyle="1" w:styleId="FooterChar">
    <w:name w:val="Footer Char"/>
    <w:basedOn w:val="DefaultParagraphFont"/>
    <w:link w:val="Footer"/>
    <w:uiPriority w:val="99"/>
    <w:semiHidden/>
    <w:rsid w:val="00ED00BE"/>
  </w:style>
  <w:style w:type="character" w:styleId="Hyperlink">
    <w:name w:val="Hyperlink"/>
    <w:basedOn w:val="DefaultParagraphFont"/>
    <w:uiPriority w:val="99"/>
    <w:unhideWhenUsed/>
    <w:rsid w:val="00185C98"/>
    <w:rPr>
      <w:color w:val="0000FF" w:themeColor="hyperlink"/>
      <w:u w:val="single"/>
    </w:rPr>
  </w:style>
  <w:style w:type="paragraph" w:styleId="FootnoteText">
    <w:name w:val="footnote text"/>
    <w:basedOn w:val="Normal"/>
    <w:link w:val="FootnoteTextChar"/>
    <w:uiPriority w:val="99"/>
    <w:unhideWhenUsed/>
    <w:rsid w:val="00481DF5"/>
    <w:pPr>
      <w:spacing w:after="0"/>
    </w:pPr>
  </w:style>
  <w:style w:type="character" w:customStyle="1" w:styleId="FootnoteTextChar">
    <w:name w:val="Footnote Text Char"/>
    <w:basedOn w:val="DefaultParagraphFont"/>
    <w:link w:val="FootnoteText"/>
    <w:uiPriority w:val="99"/>
    <w:rsid w:val="00481DF5"/>
  </w:style>
  <w:style w:type="character" w:styleId="FootnoteReference">
    <w:name w:val="footnote reference"/>
    <w:basedOn w:val="DefaultParagraphFont"/>
    <w:uiPriority w:val="99"/>
    <w:unhideWhenUsed/>
    <w:rsid w:val="00481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rina@aso.asn.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tomconsultation@ahpra.gov.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ecd-ilibrary.org/governance/the-governance-of-regulators_9789264209015-en" TargetMode="External"/><Relationship Id="rId2" Type="http://schemas.openxmlformats.org/officeDocument/2006/relationships/hyperlink" Target="http://www.anao.gov.au/Publications/Better-Practice-Guides/2013-2014/Administering-Regulation" TargetMode="External"/><Relationship Id="rId1" Type="http://schemas.openxmlformats.org/officeDocument/2006/relationships/hyperlink" Target="http://www.nps.org.au/__data/assets/pdf_file/0004/149719/Prescribing_Competencies_Framewor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xx</Company>
  <LinksUpToDate>false</LinksUpToDate>
  <CharactersWithSpaces>1756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Revised guidelines for CPD for endorsed and non-endorsed optometrists and POA - Australian Society of Opthamologists</dc:title>
  <dc:subject>Submission</dc:subject>
  <dc:creator>Optometry Board</dc:creator>
  <cp:keywords/>
  <dc:description/>
  <cp:lastModifiedBy>Sheryl Kamath</cp:lastModifiedBy>
  <cp:revision>2</cp:revision>
  <cp:lastPrinted>2015-06-01T04:48:00Z</cp:lastPrinted>
  <dcterms:created xsi:type="dcterms:W3CDTF">2016-04-26T23:44:00Z</dcterms:created>
  <dcterms:modified xsi:type="dcterms:W3CDTF">2016-04-26T23:44:00Z</dcterms:modified>
  <cp:category/>
</cp:coreProperties>
</file>